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35611" w14:textId="4E159351" w:rsidR="0093136B" w:rsidRPr="009D63C8" w:rsidRDefault="00790B7F" w:rsidP="005810E1">
      <w:pPr>
        <w:jc w:val="left"/>
        <w:rPr>
          <w:rFonts w:cs="Arial"/>
          <w:sz w:val="22"/>
          <w:szCs w:val="22"/>
        </w:rPr>
      </w:pPr>
      <w:r w:rsidRPr="00790B7F">
        <w:rPr>
          <w:rFonts w:cs="Arial"/>
          <w:b/>
          <w:sz w:val="22"/>
          <w:szCs w:val="22"/>
        </w:rPr>
        <w:t>THE LONDON BOROUGH OF BARNET (GRANVILLE ROAD ESTATE PRAMSHEDS AND BEECH COURT) COMPULSORY PURCHASE ORDER 2018</w:t>
      </w:r>
      <w:r w:rsidRPr="009D63C8">
        <w:rPr>
          <w:rFonts w:cs="Arial"/>
          <w:b/>
          <w:sz w:val="22"/>
          <w:szCs w:val="22"/>
        </w:rPr>
        <w:t xml:space="preserve"> </w:t>
      </w:r>
    </w:p>
    <w:p w14:paraId="2A39B8EC" w14:textId="77777777" w:rsidR="0093136B" w:rsidRPr="009D63C8" w:rsidRDefault="0093136B" w:rsidP="005810E1">
      <w:pPr>
        <w:jc w:val="left"/>
        <w:rPr>
          <w:rFonts w:cs="Arial"/>
          <w:b/>
          <w:sz w:val="22"/>
          <w:szCs w:val="22"/>
        </w:rPr>
      </w:pPr>
    </w:p>
    <w:p w14:paraId="0377FB32" w14:textId="77777777" w:rsidR="0093136B" w:rsidRPr="009D63C8" w:rsidRDefault="0093136B" w:rsidP="005810E1">
      <w:pPr>
        <w:jc w:val="left"/>
        <w:rPr>
          <w:rFonts w:cs="Arial"/>
          <w:b/>
          <w:sz w:val="22"/>
          <w:szCs w:val="22"/>
        </w:rPr>
      </w:pPr>
    </w:p>
    <w:p w14:paraId="2CEC6F41" w14:textId="77777777" w:rsidR="0093136B" w:rsidRPr="009D63C8" w:rsidRDefault="0093136B" w:rsidP="005810E1">
      <w:pPr>
        <w:jc w:val="left"/>
        <w:rPr>
          <w:rFonts w:cs="Arial"/>
          <w:b/>
          <w:sz w:val="22"/>
          <w:szCs w:val="22"/>
        </w:rPr>
      </w:pPr>
    </w:p>
    <w:p w14:paraId="0574CC09" w14:textId="77777777" w:rsidR="0093136B" w:rsidRPr="009D63C8" w:rsidRDefault="0093136B" w:rsidP="005810E1">
      <w:pPr>
        <w:jc w:val="left"/>
        <w:rPr>
          <w:rFonts w:cs="Arial"/>
          <w:b/>
          <w:sz w:val="22"/>
          <w:szCs w:val="22"/>
        </w:rPr>
      </w:pPr>
    </w:p>
    <w:p w14:paraId="6CC42A51" w14:textId="77777777" w:rsidR="0093136B" w:rsidRPr="009D63C8" w:rsidRDefault="0093136B" w:rsidP="005810E1">
      <w:pPr>
        <w:jc w:val="left"/>
        <w:rPr>
          <w:rFonts w:cs="Arial"/>
          <w:b/>
          <w:sz w:val="22"/>
          <w:szCs w:val="22"/>
        </w:rPr>
      </w:pPr>
    </w:p>
    <w:p w14:paraId="3C985658" w14:textId="77777777" w:rsidR="00FB3069" w:rsidRPr="009D63C8" w:rsidRDefault="00FB3069" w:rsidP="00FB3069">
      <w:pPr>
        <w:spacing w:line="276" w:lineRule="auto"/>
        <w:rPr>
          <w:rFonts w:cs="Arial"/>
          <w:sz w:val="22"/>
          <w:szCs w:val="22"/>
        </w:rPr>
      </w:pPr>
      <w:r w:rsidRPr="009D63C8">
        <w:rPr>
          <w:rFonts w:cs="Arial"/>
          <w:sz w:val="22"/>
          <w:szCs w:val="22"/>
        </w:rPr>
        <w:t xml:space="preserve">PROOF OF EVIDENCE OF </w:t>
      </w:r>
      <w:r w:rsidRPr="004E7827">
        <w:rPr>
          <w:rFonts w:cs="Arial"/>
          <w:b/>
          <w:sz w:val="22"/>
          <w:szCs w:val="22"/>
        </w:rPr>
        <w:t>PAUL SHIPWAY</w:t>
      </w:r>
      <w:r w:rsidRPr="009D63C8">
        <w:rPr>
          <w:rFonts w:cs="Arial"/>
          <w:sz w:val="22"/>
          <w:szCs w:val="22"/>
        </w:rPr>
        <w:t>, on behalf of the London Borough of Barnet acquiring authority</w:t>
      </w:r>
    </w:p>
    <w:p w14:paraId="3B353D9E" w14:textId="77777777" w:rsidR="00FB3069" w:rsidRPr="009D63C8" w:rsidRDefault="00FB3069" w:rsidP="00FB3069">
      <w:pPr>
        <w:spacing w:line="276" w:lineRule="auto"/>
        <w:rPr>
          <w:rFonts w:cs="Arial"/>
          <w:sz w:val="22"/>
          <w:szCs w:val="22"/>
        </w:rPr>
      </w:pPr>
    </w:p>
    <w:p w14:paraId="0489B377" w14:textId="77777777" w:rsidR="00FB3069" w:rsidRPr="009D63C8" w:rsidRDefault="00FB3069" w:rsidP="00FB3069">
      <w:pPr>
        <w:spacing w:line="276" w:lineRule="auto"/>
        <w:rPr>
          <w:rFonts w:cs="Arial"/>
          <w:sz w:val="22"/>
          <w:szCs w:val="22"/>
        </w:rPr>
      </w:pPr>
      <w:r w:rsidRPr="009D63C8">
        <w:rPr>
          <w:rFonts w:cs="Arial"/>
          <w:sz w:val="22"/>
          <w:szCs w:val="22"/>
        </w:rPr>
        <w:t>Dealing with matters relating to the Council's housing strategy and the impact of the order on the residents of Beech Court</w:t>
      </w:r>
    </w:p>
    <w:p w14:paraId="31B68046" w14:textId="77777777" w:rsidR="0093136B" w:rsidRPr="009D63C8" w:rsidRDefault="0093136B" w:rsidP="005810E1">
      <w:pPr>
        <w:jc w:val="left"/>
        <w:rPr>
          <w:rFonts w:cs="Arial"/>
          <w:b/>
          <w:sz w:val="22"/>
          <w:szCs w:val="22"/>
        </w:rPr>
      </w:pPr>
    </w:p>
    <w:p w14:paraId="4163BF11" w14:textId="77777777" w:rsidR="0093136B" w:rsidRPr="009D63C8" w:rsidRDefault="0093136B" w:rsidP="005810E1">
      <w:pPr>
        <w:jc w:val="left"/>
        <w:rPr>
          <w:rFonts w:cs="Arial"/>
          <w:b/>
          <w:sz w:val="22"/>
          <w:szCs w:val="22"/>
        </w:rPr>
      </w:pPr>
    </w:p>
    <w:p w14:paraId="2AA5CD83" w14:textId="77777777" w:rsidR="0093136B" w:rsidRPr="009D63C8" w:rsidRDefault="0093136B" w:rsidP="005810E1">
      <w:pPr>
        <w:jc w:val="left"/>
        <w:rPr>
          <w:rFonts w:cs="Arial"/>
          <w:b/>
          <w:sz w:val="22"/>
          <w:szCs w:val="22"/>
        </w:rPr>
      </w:pPr>
    </w:p>
    <w:p w14:paraId="35C9E85E" w14:textId="77777777" w:rsidR="0093136B" w:rsidRPr="009D63C8" w:rsidRDefault="0093136B" w:rsidP="005810E1">
      <w:pPr>
        <w:jc w:val="left"/>
        <w:rPr>
          <w:rFonts w:cs="Arial"/>
          <w:b/>
          <w:sz w:val="22"/>
          <w:szCs w:val="22"/>
        </w:rPr>
      </w:pPr>
    </w:p>
    <w:p w14:paraId="1DE42675" w14:textId="77777777" w:rsidR="0093136B" w:rsidRPr="009D63C8" w:rsidRDefault="0093136B" w:rsidP="005810E1">
      <w:pPr>
        <w:jc w:val="left"/>
        <w:rPr>
          <w:rFonts w:cs="Arial"/>
          <w:b/>
          <w:sz w:val="22"/>
          <w:szCs w:val="22"/>
        </w:rPr>
      </w:pPr>
    </w:p>
    <w:p w14:paraId="54A414D8" w14:textId="77777777" w:rsidR="0093136B" w:rsidRPr="009D63C8" w:rsidRDefault="0093136B" w:rsidP="005810E1">
      <w:pPr>
        <w:jc w:val="left"/>
        <w:rPr>
          <w:rFonts w:cs="Arial"/>
          <w:b/>
          <w:sz w:val="22"/>
          <w:szCs w:val="22"/>
        </w:rPr>
      </w:pPr>
    </w:p>
    <w:p w14:paraId="35C0811B" w14:textId="77777777" w:rsidR="0093136B" w:rsidRPr="009D63C8" w:rsidRDefault="0093136B" w:rsidP="005810E1">
      <w:pPr>
        <w:jc w:val="left"/>
        <w:rPr>
          <w:rFonts w:cs="Arial"/>
          <w:b/>
          <w:sz w:val="22"/>
          <w:szCs w:val="22"/>
        </w:rPr>
      </w:pPr>
    </w:p>
    <w:p w14:paraId="3525AC18" w14:textId="77777777" w:rsidR="0093136B" w:rsidRPr="009D63C8" w:rsidRDefault="0093136B" w:rsidP="005810E1">
      <w:pPr>
        <w:jc w:val="left"/>
        <w:rPr>
          <w:rFonts w:cs="Arial"/>
          <w:b/>
          <w:sz w:val="22"/>
          <w:szCs w:val="22"/>
        </w:rPr>
      </w:pPr>
    </w:p>
    <w:p w14:paraId="0147F2E8" w14:textId="77777777" w:rsidR="0093136B" w:rsidRPr="009D63C8" w:rsidRDefault="0093136B" w:rsidP="005810E1">
      <w:pPr>
        <w:jc w:val="left"/>
        <w:rPr>
          <w:rFonts w:cs="Arial"/>
          <w:b/>
          <w:sz w:val="22"/>
          <w:szCs w:val="22"/>
        </w:rPr>
      </w:pPr>
    </w:p>
    <w:p w14:paraId="403E6E1F" w14:textId="77777777" w:rsidR="0093136B" w:rsidRPr="009D63C8" w:rsidRDefault="0093136B" w:rsidP="005810E1">
      <w:pPr>
        <w:jc w:val="left"/>
        <w:rPr>
          <w:rFonts w:cs="Arial"/>
          <w:b/>
          <w:sz w:val="22"/>
          <w:szCs w:val="22"/>
        </w:rPr>
      </w:pPr>
    </w:p>
    <w:p w14:paraId="36136BD0" w14:textId="77777777" w:rsidR="00FB3069" w:rsidRPr="009D63C8" w:rsidRDefault="00FB3069" w:rsidP="00FB3069">
      <w:pPr>
        <w:spacing w:line="276" w:lineRule="auto"/>
        <w:rPr>
          <w:rFonts w:cs="Arial"/>
          <w:sz w:val="22"/>
          <w:szCs w:val="22"/>
        </w:rPr>
      </w:pPr>
      <w:r w:rsidRPr="009D63C8">
        <w:rPr>
          <w:rFonts w:cs="Arial"/>
          <w:sz w:val="22"/>
          <w:szCs w:val="22"/>
        </w:rPr>
        <w:t>PLANNING INSPECTORATE REF: APP/</w:t>
      </w:r>
      <w:proofErr w:type="spellStart"/>
      <w:r w:rsidRPr="009D63C8">
        <w:rPr>
          <w:rFonts w:cs="Arial"/>
          <w:sz w:val="22"/>
          <w:szCs w:val="22"/>
        </w:rPr>
        <w:t>PCM</w:t>
      </w:r>
      <w:proofErr w:type="spellEnd"/>
      <w:r w:rsidRPr="009D63C8">
        <w:rPr>
          <w:rFonts w:cs="Arial"/>
          <w:sz w:val="22"/>
          <w:szCs w:val="22"/>
        </w:rPr>
        <w:t>/CPO/N5090/78325</w:t>
      </w:r>
    </w:p>
    <w:p w14:paraId="221BD39F" w14:textId="71B879AE" w:rsidR="00FB3069" w:rsidRPr="009D63C8" w:rsidRDefault="00FB3069" w:rsidP="00FB3069">
      <w:pPr>
        <w:spacing w:line="276" w:lineRule="auto"/>
        <w:rPr>
          <w:rFonts w:cs="Arial"/>
          <w:sz w:val="22"/>
          <w:szCs w:val="22"/>
        </w:rPr>
      </w:pPr>
      <w:r w:rsidRPr="009D63C8">
        <w:rPr>
          <w:rFonts w:cs="Arial"/>
          <w:sz w:val="22"/>
          <w:szCs w:val="22"/>
        </w:rPr>
        <w:t xml:space="preserve">Document reference: </w:t>
      </w:r>
      <w:r w:rsidR="00790B7F">
        <w:rPr>
          <w:rFonts w:cs="Arial"/>
          <w:sz w:val="22"/>
          <w:szCs w:val="22"/>
        </w:rPr>
        <w:t xml:space="preserve">AA </w:t>
      </w:r>
      <w:r w:rsidRPr="009D63C8">
        <w:rPr>
          <w:rFonts w:cs="Arial"/>
          <w:sz w:val="22"/>
          <w:szCs w:val="22"/>
        </w:rPr>
        <w:t>PS</w:t>
      </w:r>
      <w:r w:rsidR="00790B7F">
        <w:rPr>
          <w:rFonts w:cs="Arial"/>
          <w:sz w:val="22"/>
          <w:szCs w:val="22"/>
        </w:rPr>
        <w:t xml:space="preserve"> </w:t>
      </w:r>
      <w:r w:rsidR="002C558F">
        <w:rPr>
          <w:rFonts w:cs="Arial"/>
          <w:sz w:val="22"/>
          <w:szCs w:val="22"/>
        </w:rPr>
        <w:t>1</w:t>
      </w:r>
      <w:r w:rsidRPr="009D63C8">
        <w:rPr>
          <w:rFonts w:cs="Arial"/>
          <w:sz w:val="22"/>
          <w:szCs w:val="22"/>
        </w:rPr>
        <w:t>.1</w:t>
      </w:r>
    </w:p>
    <w:p w14:paraId="20923210" w14:textId="77777777" w:rsidR="0093136B" w:rsidRPr="009D63C8" w:rsidRDefault="0093136B" w:rsidP="005810E1">
      <w:pPr>
        <w:jc w:val="left"/>
        <w:rPr>
          <w:rFonts w:cs="Arial"/>
          <w:b/>
          <w:sz w:val="22"/>
          <w:szCs w:val="22"/>
        </w:rPr>
      </w:pPr>
    </w:p>
    <w:p w14:paraId="2397453D" w14:textId="77777777" w:rsidR="0093136B" w:rsidRPr="009D63C8" w:rsidRDefault="0093136B" w:rsidP="005810E1">
      <w:pPr>
        <w:jc w:val="left"/>
        <w:rPr>
          <w:rFonts w:cs="Arial"/>
          <w:b/>
          <w:sz w:val="22"/>
          <w:szCs w:val="22"/>
        </w:rPr>
      </w:pPr>
    </w:p>
    <w:p w14:paraId="7D47FC30" w14:textId="77777777" w:rsidR="0093136B" w:rsidRPr="009D63C8" w:rsidRDefault="0093136B" w:rsidP="005810E1">
      <w:pPr>
        <w:jc w:val="left"/>
        <w:rPr>
          <w:rFonts w:cs="Arial"/>
          <w:b/>
          <w:sz w:val="22"/>
          <w:szCs w:val="22"/>
        </w:rPr>
      </w:pPr>
    </w:p>
    <w:p w14:paraId="4DA2C522" w14:textId="77777777" w:rsidR="0093136B" w:rsidRPr="009D63C8" w:rsidRDefault="0093136B" w:rsidP="005810E1">
      <w:pPr>
        <w:jc w:val="left"/>
        <w:rPr>
          <w:rFonts w:cs="Arial"/>
          <w:b/>
          <w:sz w:val="22"/>
          <w:szCs w:val="22"/>
        </w:rPr>
      </w:pPr>
    </w:p>
    <w:p w14:paraId="78718164" w14:textId="77777777" w:rsidR="0093136B" w:rsidRPr="009D63C8" w:rsidRDefault="0093136B" w:rsidP="005810E1">
      <w:pPr>
        <w:jc w:val="left"/>
        <w:rPr>
          <w:rFonts w:cs="Arial"/>
          <w:b/>
          <w:sz w:val="22"/>
          <w:szCs w:val="22"/>
        </w:rPr>
      </w:pPr>
    </w:p>
    <w:p w14:paraId="357DC394" w14:textId="77777777" w:rsidR="0093136B" w:rsidRPr="009D63C8" w:rsidRDefault="0093136B" w:rsidP="005810E1">
      <w:pPr>
        <w:jc w:val="left"/>
        <w:rPr>
          <w:rFonts w:cs="Arial"/>
          <w:b/>
          <w:sz w:val="22"/>
          <w:szCs w:val="22"/>
        </w:rPr>
      </w:pPr>
    </w:p>
    <w:p w14:paraId="34C4CE1F" w14:textId="77777777" w:rsidR="0093136B" w:rsidRPr="009D63C8" w:rsidRDefault="0093136B" w:rsidP="005810E1">
      <w:pPr>
        <w:jc w:val="left"/>
        <w:rPr>
          <w:rFonts w:cs="Arial"/>
          <w:b/>
          <w:sz w:val="22"/>
          <w:szCs w:val="22"/>
        </w:rPr>
      </w:pPr>
    </w:p>
    <w:p w14:paraId="7D244E6E" w14:textId="77777777" w:rsidR="0093136B" w:rsidRPr="009D63C8" w:rsidRDefault="0093136B" w:rsidP="005810E1">
      <w:pPr>
        <w:jc w:val="left"/>
        <w:rPr>
          <w:rFonts w:cs="Arial"/>
          <w:b/>
          <w:sz w:val="22"/>
          <w:szCs w:val="22"/>
        </w:rPr>
      </w:pPr>
    </w:p>
    <w:p w14:paraId="74E1C3A0" w14:textId="35EB35E8" w:rsidR="0093136B" w:rsidRPr="009D63C8" w:rsidRDefault="00790B7F" w:rsidP="005810E1">
      <w:pPr>
        <w:jc w:val="left"/>
        <w:rPr>
          <w:rFonts w:cs="Arial"/>
          <w:b/>
          <w:sz w:val="22"/>
          <w:szCs w:val="22"/>
        </w:rPr>
      </w:pPr>
      <w:r>
        <w:rPr>
          <w:rFonts w:cs="Arial"/>
          <w:b/>
          <w:sz w:val="22"/>
          <w:szCs w:val="22"/>
        </w:rPr>
        <w:t xml:space="preserve">26 </w:t>
      </w:r>
      <w:r w:rsidR="00B54D34">
        <w:rPr>
          <w:rFonts w:cs="Arial"/>
          <w:b/>
          <w:sz w:val="22"/>
          <w:szCs w:val="22"/>
        </w:rPr>
        <w:t>June 2018</w:t>
      </w:r>
    </w:p>
    <w:p w14:paraId="141AC019" w14:textId="77777777" w:rsidR="0093136B" w:rsidRPr="009D63C8" w:rsidRDefault="0093136B" w:rsidP="005810E1">
      <w:pPr>
        <w:jc w:val="left"/>
        <w:rPr>
          <w:rFonts w:cs="Arial"/>
          <w:b/>
          <w:sz w:val="22"/>
          <w:szCs w:val="22"/>
        </w:rPr>
      </w:pPr>
    </w:p>
    <w:p w14:paraId="61483301" w14:textId="77777777" w:rsidR="0093136B" w:rsidRPr="009D63C8" w:rsidRDefault="0093136B" w:rsidP="005810E1">
      <w:pPr>
        <w:jc w:val="left"/>
        <w:rPr>
          <w:rFonts w:cs="Arial"/>
          <w:b/>
          <w:sz w:val="22"/>
          <w:szCs w:val="22"/>
        </w:rPr>
      </w:pPr>
    </w:p>
    <w:p w14:paraId="29D9A8D9" w14:textId="77777777" w:rsidR="0093136B" w:rsidRPr="009D63C8" w:rsidRDefault="0093136B" w:rsidP="005810E1">
      <w:pPr>
        <w:jc w:val="left"/>
        <w:rPr>
          <w:rFonts w:cs="Arial"/>
          <w:b/>
          <w:sz w:val="22"/>
          <w:szCs w:val="22"/>
        </w:rPr>
      </w:pPr>
    </w:p>
    <w:p w14:paraId="1E2F4D7F" w14:textId="77777777" w:rsidR="0093136B" w:rsidRPr="009D63C8" w:rsidRDefault="0093136B" w:rsidP="005810E1">
      <w:pPr>
        <w:jc w:val="left"/>
        <w:rPr>
          <w:rFonts w:cs="Arial"/>
          <w:b/>
          <w:sz w:val="22"/>
          <w:szCs w:val="22"/>
        </w:rPr>
      </w:pPr>
    </w:p>
    <w:p w14:paraId="17BCD19D" w14:textId="77777777" w:rsidR="0093136B" w:rsidRPr="009D63C8" w:rsidRDefault="0093136B" w:rsidP="005810E1">
      <w:pPr>
        <w:jc w:val="left"/>
        <w:rPr>
          <w:rFonts w:cs="Arial"/>
          <w:b/>
          <w:sz w:val="22"/>
          <w:szCs w:val="22"/>
        </w:rPr>
      </w:pPr>
    </w:p>
    <w:p w14:paraId="41C22AA8" w14:textId="77777777" w:rsidR="0093136B" w:rsidRPr="009D63C8" w:rsidRDefault="0093136B" w:rsidP="005810E1">
      <w:pPr>
        <w:jc w:val="left"/>
        <w:rPr>
          <w:rFonts w:cs="Arial"/>
          <w:b/>
          <w:sz w:val="22"/>
          <w:szCs w:val="22"/>
        </w:rPr>
      </w:pPr>
    </w:p>
    <w:p w14:paraId="50EB58D4" w14:textId="77777777" w:rsidR="0093136B" w:rsidRPr="009D63C8" w:rsidRDefault="0093136B" w:rsidP="005810E1">
      <w:pPr>
        <w:jc w:val="left"/>
        <w:rPr>
          <w:rFonts w:cs="Arial"/>
          <w:b/>
          <w:sz w:val="22"/>
          <w:szCs w:val="22"/>
        </w:rPr>
      </w:pPr>
    </w:p>
    <w:p w14:paraId="6FBBA922" w14:textId="77777777" w:rsidR="00AD4625" w:rsidRPr="009D63C8" w:rsidRDefault="00AD4625" w:rsidP="005810E1">
      <w:pPr>
        <w:jc w:val="left"/>
        <w:rPr>
          <w:rFonts w:cs="Arial"/>
          <w:b/>
          <w:sz w:val="22"/>
          <w:szCs w:val="22"/>
        </w:rPr>
      </w:pPr>
    </w:p>
    <w:p w14:paraId="0D5481AE" w14:textId="77777777" w:rsidR="00AD4625" w:rsidRPr="009D63C8" w:rsidRDefault="00AD4625" w:rsidP="005810E1">
      <w:pPr>
        <w:jc w:val="left"/>
        <w:rPr>
          <w:rFonts w:cs="Arial"/>
          <w:b/>
          <w:sz w:val="22"/>
          <w:szCs w:val="22"/>
        </w:rPr>
      </w:pPr>
    </w:p>
    <w:p w14:paraId="7DFF9B4B" w14:textId="77777777" w:rsidR="00AD4625" w:rsidRPr="009D63C8" w:rsidRDefault="00AD4625" w:rsidP="005810E1">
      <w:pPr>
        <w:jc w:val="left"/>
        <w:rPr>
          <w:rFonts w:cs="Arial"/>
          <w:b/>
          <w:sz w:val="22"/>
          <w:szCs w:val="22"/>
        </w:rPr>
      </w:pPr>
    </w:p>
    <w:p w14:paraId="51F57718" w14:textId="77777777" w:rsidR="00AD4625" w:rsidRPr="009D63C8" w:rsidRDefault="00AD4625" w:rsidP="005810E1">
      <w:pPr>
        <w:jc w:val="left"/>
        <w:rPr>
          <w:rFonts w:cs="Arial"/>
          <w:b/>
          <w:sz w:val="22"/>
          <w:szCs w:val="22"/>
        </w:rPr>
      </w:pPr>
    </w:p>
    <w:p w14:paraId="50E6AE75" w14:textId="77777777" w:rsidR="00AD4625" w:rsidRPr="009D63C8" w:rsidRDefault="00AD4625" w:rsidP="005810E1">
      <w:pPr>
        <w:jc w:val="left"/>
        <w:rPr>
          <w:rFonts w:cs="Arial"/>
          <w:b/>
          <w:sz w:val="22"/>
          <w:szCs w:val="22"/>
        </w:rPr>
      </w:pPr>
    </w:p>
    <w:p w14:paraId="3CBF9712" w14:textId="77777777" w:rsidR="00AD4625" w:rsidRPr="009D63C8" w:rsidRDefault="00AD4625" w:rsidP="005810E1">
      <w:pPr>
        <w:jc w:val="left"/>
        <w:rPr>
          <w:rFonts w:cs="Arial"/>
          <w:b/>
          <w:sz w:val="22"/>
          <w:szCs w:val="22"/>
        </w:rPr>
      </w:pPr>
    </w:p>
    <w:p w14:paraId="1D135BD7" w14:textId="77777777" w:rsidR="0093136B" w:rsidRPr="009D63C8" w:rsidRDefault="0093136B" w:rsidP="005810E1">
      <w:pPr>
        <w:jc w:val="left"/>
        <w:rPr>
          <w:rFonts w:cs="Arial"/>
          <w:b/>
          <w:sz w:val="22"/>
          <w:szCs w:val="22"/>
        </w:rPr>
      </w:pPr>
    </w:p>
    <w:p w14:paraId="0AB719D4" w14:textId="77777777" w:rsidR="0093136B" w:rsidRPr="009D63C8" w:rsidRDefault="0093136B" w:rsidP="005810E1">
      <w:pPr>
        <w:jc w:val="left"/>
        <w:rPr>
          <w:rFonts w:cs="Arial"/>
          <w:b/>
          <w:sz w:val="22"/>
          <w:szCs w:val="22"/>
        </w:rPr>
      </w:pPr>
    </w:p>
    <w:p w14:paraId="2D66A1E0" w14:textId="77777777" w:rsidR="0093136B" w:rsidRPr="009D63C8" w:rsidRDefault="0093136B" w:rsidP="005810E1">
      <w:pPr>
        <w:jc w:val="left"/>
        <w:rPr>
          <w:rFonts w:cs="Arial"/>
          <w:b/>
          <w:sz w:val="22"/>
          <w:szCs w:val="22"/>
        </w:rPr>
      </w:pPr>
    </w:p>
    <w:p w14:paraId="555CC945" w14:textId="77777777" w:rsidR="001D10CB" w:rsidRPr="009D63C8" w:rsidRDefault="001D10CB" w:rsidP="005810E1">
      <w:pPr>
        <w:jc w:val="left"/>
        <w:rPr>
          <w:rFonts w:cs="Arial"/>
          <w:b/>
          <w:sz w:val="22"/>
          <w:szCs w:val="22"/>
        </w:rPr>
      </w:pPr>
    </w:p>
    <w:p w14:paraId="63A22D10" w14:textId="77777777" w:rsidR="00DB4B61" w:rsidRPr="009D63C8" w:rsidRDefault="00DB4B61" w:rsidP="005810E1">
      <w:pPr>
        <w:spacing w:line="360" w:lineRule="auto"/>
        <w:jc w:val="left"/>
        <w:rPr>
          <w:rFonts w:cs="Arial"/>
          <w:b/>
          <w:sz w:val="22"/>
          <w:szCs w:val="22"/>
        </w:rPr>
      </w:pPr>
    </w:p>
    <w:p w14:paraId="5FA7A636" w14:textId="77777777" w:rsidR="0077608F" w:rsidRPr="009D63C8" w:rsidRDefault="0077608F" w:rsidP="005810E1">
      <w:pPr>
        <w:overflowPunct/>
        <w:autoSpaceDE/>
        <w:autoSpaceDN/>
        <w:adjustRightInd/>
        <w:spacing w:after="200"/>
        <w:jc w:val="left"/>
        <w:textAlignment w:val="auto"/>
        <w:rPr>
          <w:rFonts w:cs="Arial"/>
          <w:b/>
          <w:sz w:val="22"/>
          <w:szCs w:val="22"/>
        </w:rPr>
      </w:pPr>
    </w:p>
    <w:p w14:paraId="3DA058EF" w14:textId="77777777" w:rsidR="00727FDA" w:rsidRPr="009D63C8" w:rsidRDefault="00727FDA" w:rsidP="005810E1">
      <w:pPr>
        <w:numPr>
          <w:ilvl w:val="0"/>
          <w:numId w:val="1"/>
        </w:numPr>
        <w:ind w:left="709" w:hanging="709"/>
        <w:jc w:val="left"/>
        <w:rPr>
          <w:rFonts w:cs="Arial"/>
          <w:b/>
          <w:sz w:val="22"/>
          <w:szCs w:val="22"/>
        </w:rPr>
      </w:pPr>
      <w:r w:rsidRPr="009D63C8">
        <w:rPr>
          <w:rFonts w:cs="Arial"/>
          <w:b/>
          <w:sz w:val="22"/>
          <w:szCs w:val="22"/>
        </w:rPr>
        <w:lastRenderedPageBreak/>
        <w:t>INTRODUCTION</w:t>
      </w:r>
    </w:p>
    <w:p w14:paraId="4B809134" w14:textId="77777777" w:rsidR="00727FDA" w:rsidRPr="009D63C8" w:rsidRDefault="00727FDA" w:rsidP="005810E1">
      <w:pPr>
        <w:ind w:left="709"/>
        <w:jc w:val="left"/>
        <w:rPr>
          <w:rFonts w:cs="Arial"/>
          <w:sz w:val="22"/>
          <w:szCs w:val="22"/>
        </w:rPr>
      </w:pPr>
    </w:p>
    <w:p w14:paraId="1E4F6391" w14:textId="53F8DCC2" w:rsidR="0028730C" w:rsidRPr="009D63C8" w:rsidRDefault="0028730C" w:rsidP="004C5E08">
      <w:pPr>
        <w:pStyle w:val="Level2"/>
        <w:tabs>
          <w:tab w:val="clear" w:pos="851"/>
        </w:tabs>
        <w:ind w:left="709" w:hanging="709"/>
        <w:rPr>
          <w:rFonts w:ascii="Arial" w:hAnsi="Arial" w:cs="Arial"/>
          <w:sz w:val="22"/>
          <w:szCs w:val="22"/>
        </w:rPr>
      </w:pPr>
      <w:r w:rsidRPr="009D63C8">
        <w:rPr>
          <w:rFonts w:ascii="Arial" w:hAnsi="Arial" w:cs="Arial"/>
          <w:sz w:val="22"/>
          <w:szCs w:val="22"/>
        </w:rPr>
        <w:t xml:space="preserve">My name is Paul Shipway and I am the Strategic Housing Lead for the London Borough of Barnet within the Council’s Commissioning Group. </w:t>
      </w:r>
    </w:p>
    <w:p w14:paraId="66AB65D3" w14:textId="165E82DC" w:rsidR="0028730C" w:rsidRPr="009D63C8" w:rsidRDefault="0028730C" w:rsidP="004C5E08">
      <w:pPr>
        <w:pStyle w:val="Level2"/>
        <w:tabs>
          <w:tab w:val="clear" w:pos="851"/>
        </w:tabs>
        <w:ind w:left="709" w:hanging="709"/>
        <w:rPr>
          <w:rFonts w:ascii="Arial" w:hAnsi="Arial" w:cs="Arial"/>
          <w:sz w:val="22"/>
          <w:szCs w:val="22"/>
        </w:rPr>
      </w:pPr>
      <w:r w:rsidRPr="009D63C8">
        <w:rPr>
          <w:rFonts w:ascii="Arial" w:hAnsi="Arial" w:cs="Arial"/>
          <w:sz w:val="22"/>
          <w:szCs w:val="22"/>
        </w:rPr>
        <w:t xml:space="preserve">I started working for the Council on 1st July 2015 and immediately prior to this I was Head of Strategy </w:t>
      </w:r>
      <w:r w:rsidR="00AD4625" w:rsidRPr="009D63C8">
        <w:rPr>
          <w:rFonts w:ascii="Arial" w:hAnsi="Arial" w:cs="Arial"/>
          <w:sz w:val="22"/>
          <w:szCs w:val="22"/>
        </w:rPr>
        <w:t xml:space="preserve">and Performance </w:t>
      </w:r>
      <w:r w:rsidRPr="009D63C8">
        <w:rPr>
          <w:rFonts w:ascii="Arial" w:hAnsi="Arial" w:cs="Arial"/>
          <w:sz w:val="22"/>
          <w:szCs w:val="22"/>
        </w:rPr>
        <w:t>for Regional Enterprise, a joint venture between the Council and Capita</w:t>
      </w:r>
      <w:r w:rsidR="00AD4625" w:rsidRPr="009D63C8">
        <w:rPr>
          <w:rFonts w:ascii="Arial" w:hAnsi="Arial" w:cs="Arial"/>
          <w:sz w:val="22"/>
          <w:szCs w:val="22"/>
        </w:rPr>
        <w:t>,</w:t>
      </w:r>
      <w:r w:rsidRPr="009D63C8">
        <w:rPr>
          <w:rFonts w:ascii="Arial" w:hAnsi="Arial" w:cs="Arial"/>
          <w:sz w:val="22"/>
          <w:szCs w:val="22"/>
        </w:rPr>
        <w:t xml:space="preserve"> between October 2013 and June 2015</w:t>
      </w:r>
      <w:r w:rsidR="00B54D34">
        <w:rPr>
          <w:rFonts w:ascii="Arial" w:hAnsi="Arial" w:cs="Arial"/>
          <w:sz w:val="22"/>
          <w:szCs w:val="22"/>
        </w:rPr>
        <w:t>.</w:t>
      </w:r>
      <w:r w:rsidRPr="009D63C8">
        <w:rPr>
          <w:rFonts w:ascii="Arial" w:hAnsi="Arial" w:cs="Arial"/>
          <w:sz w:val="22"/>
          <w:szCs w:val="22"/>
        </w:rPr>
        <w:t xml:space="preserve"> </w:t>
      </w:r>
      <w:r w:rsidR="00B54D34">
        <w:rPr>
          <w:rFonts w:ascii="Arial" w:hAnsi="Arial" w:cs="Arial"/>
          <w:sz w:val="22"/>
          <w:szCs w:val="22"/>
        </w:rPr>
        <w:t>P</w:t>
      </w:r>
      <w:r w:rsidRPr="009D63C8">
        <w:rPr>
          <w:rFonts w:ascii="Arial" w:hAnsi="Arial" w:cs="Arial"/>
          <w:sz w:val="22"/>
          <w:szCs w:val="22"/>
        </w:rPr>
        <w:t xml:space="preserve">rior to </w:t>
      </w:r>
      <w:r w:rsidR="00ED630D">
        <w:rPr>
          <w:rFonts w:ascii="Arial" w:hAnsi="Arial" w:cs="Arial"/>
          <w:sz w:val="22"/>
          <w:szCs w:val="22"/>
        </w:rPr>
        <w:t>October 2013</w:t>
      </w:r>
      <w:r w:rsidR="00ED630D" w:rsidRPr="009D63C8">
        <w:rPr>
          <w:rFonts w:ascii="Arial" w:hAnsi="Arial" w:cs="Arial"/>
          <w:sz w:val="22"/>
          <w:szCs w:val="22"/>
        </w:rPr>
        <w:t xml:space="preserve"> </w:t>
      </w:r>
      <w:r w:rsidRPr="009D63C8">
        <w:rPr>
          <w:rFonts w:ascii="Arial" w:hAnsi="Arial" w:cs="Arial"/>
          <w:sz w:val="22"/>
          <w:szCs w:val="22"/>
        </w:rPr>
        <w:t xml:space="preserve">I had worked for the London Borough of Barnet since 1st September 1997. </w:t>
      </w:r>
    </w:p>
    <w:p w14:paraId="586E39AD" w14:textId="7810E309" w:rsidR="0028730C" w:rsidRPr="009D63C8" w:rsidRDefault="0028730C" w:rsidP="004C5E08">
      <w:pPr>
        <w:pStyle w:val="Level2"/>
        <w:tabs>
          <w:tab w:val="clear" w:pos="851"/>
        </w:tabs>
        <w:ind w:left="709" w:hanging="709"/>
        <w:rPr>
          <w:rFonts w:ascii="Arial" w:hAnsi="Arial" w:cs="Arial"/>
          <w:sz w:val="22"/>
          <w:szCs w:val="22"/>
        </w:rPr>
      </w:pPr>
      <w:r w:rsidRPr="009D63C8">
        <w:rPr>
          <w:rFonts w:ascii="Arial" w:hAnsi="Arial" w:cs="Arial"/>
          <w:sz w:val="22"/>
          <w:szCs w:val="22"/>
        </w:rPr>
        <w:t xml:space="preserve">I am responsible for strategic housing matters for the </w:t>
      </w:r>
      <w:r w:rsidR="00111065">
        <w:rPr>
          <w:rFonts w:ascii="Arial" w:hAnsi="Arial" w:cs="Arial"/>
          <w:sz w:val="22"/>
          <w:szCs w:val="22"/>
        </w:rPr>
        <w:t>Council</w:t>
      </w:r>
      <w:r w:rsidRPr="009D63C8">
        <w:rPr>
          <w:rFonts w:ascii="Arial" w:hAnsi="Arial" w:cs="Arial"/>
          <w:sz w:val="22"/>
          <w:szCs w:val="22"/>
        </w:rPr>
        <w:t>, including maintaining the Council’s Housing Strategy and the commissioning of housing services within the borough.</w:t>
      </w:r>
    </w:p>
    <w:p w14:paraId="17A77C84" w14:textId="77777777" w:rsidR="0028730C" w:rsidRPr="009D63C8" w:rsidRDefault="0028730C" w:rsidP="004C5E08">
      <w:pPr>
        <w:pStyle w:val="Level2"/>
        <w:tabs>
          <w:tab w:val="clear" w:pos="851"/>
        </w:tabs>
        <w:ind w:left="709" w:hanging="709"/>
        <w:rPr>
          <w:rFonts w:ascii="Arial" w:hAnsi="Arial" w:cs="Arial"/>
          <w:sz w:val="22"/>
          <w:szCs w:val="22"/>
        </w:rPr>
      </w:pPr>
      <w:r w:rsidRPr="009D63C8">
        <w:rPr>
          <w:rFonts w:ascii="Arial" w:hAnsi="Arial" w:cs="Arial"/>
          <w:sz w:val="22"/>
          <w:szCs w:val="22"/>
        </w:rPr>
        <w:t xml:space="preserve">I have been responsible for developing and maintaining the Council’s Housing Strategy since April 2003. </w:t>
      </w:r>
    </w:p>
    <w:p w14:paraId="0F607F31" w14:textId="77777777" w:rsidR="0028730C" w:rsidRPr="009D63C8" w:rsidRDefault="0028730C" w:rsidP="004C5E08">
      <w:pPr>
        <w:pStyle w:val="Level2"/>
        <w:tabs>
          <w:tab w:val="clear" w:pos="851"/>
        </w:tabs>
        <w:ind w:left="709" w:hanging="709"/>
        <w:rPr>
          <w:rFonts w:ascii="Arial" w:hAnsi="Arial" w:cs="Arial"/>
          <w:sz w:val="22"/>
          <w:szCs w:val="22"/>
        </w:rPr>
      </w:pPr>
      <w:r w:rsidRPr="009D63C8">
        <w:rPr>
          <w:rFonts w:ascii="Arial" w:hAnsi="Arial" w:cs="Arial"/>
          <w:sz w:val="22"/>
          <w:szCs w:val="22"/>
        </w:rPr>
        <w:t xml:space="preserve">Prior to April 2003 I was the Housing Performance Manager for the Council’s Housing Service with responsibility for producing internal performance reports, government returns and Best Value performance indicators </w:t>
      </w:r>
    </w:p>
    <w:p w14:paraId="03FC26DD" w14:textId="77777777" w:rsidR="00B54D34" w:rsidRDefault="00F55B90" w:rsidP="004C5E08">
      <w:pPr>
        <w:pStyle w:val="Level2"/>
        <w:tabs>
          <w:tab w:val="clear" w:pos="851"/>
        </w:tabs>
        <w:ind w:left="709" w:hanging="709"/>
        <w:rPr>
          <w:rFonts w:ascii="Arial" w:hAnsi="Arial" w:cs="Arial"/>
          <w:sz w:val="22"/>
          <w:szCs w:val="22"/>
        </w:rPr>
      </w:pPr>
      <w:r w:rsidRPr="009D63C8">
        <w:rPr>
          <w:rFonts w:ascii="Arial" w:hAnsi="Arial" w:cs="Arial"/>
          <w:sz w:val="22"/>
          <w:szCs w:val="22"/>
        </w:rPr>
        <w:t xml:space="preserve">Whilst I have not been directly involved with the delivery of the </w:t>
      </w:r>
      <w:r w:rsidR="008C0507" w:rsidRPr="009D63C8">
        <w:rPr>
          <w:rFonts w:ascii="Arial" w:hAnsi="Arial" w:cs="Arial"/>
          <w:sz w:val="22"/>
          <w:szCs w:val="22"/>
        </w:rPr>
        <w:t>Granville Road</w:t>
      </w:r>
      <w:r w:rsidRPr="009D63C8">
        <w:rPr>
          <w:rFonts w:ascii="Arial" w:hAnsi="Arial" w:cs="Arial"/>
          <w:sz w:val="22"/>
          <w:szCs w:val="22"/>
        </w:rPr>
        <w:t xml:space="preserve"> proposals, I have worked on the Council’s Housing Strategy since 2003</w:t>
      </w:r>
      <w:r w:rsidR="004D29E6" w:rsidRPr="009D63C8">
        <w:rPr>
          <w:rFonts w:ascii="Arial" w:hAnsi="Arial" w:cs="Arial"/>
          <w:sz w:val="22"/>
          <w:szCs w:val="22"/>
        </w:rPr>
        <w:t>. T</w:t>
      </w:r>
      <w:r w:rsidRPr="009D63C8">
        <w:rPr>
          <w:rFonts w:ascii="Arial" w:hAnsi="Arial" w:cs="Arial"/>
          <w:sz w:val="22"/>
          <w:szCs w:val="22"/>
        </w:rPr>
        <w:t>h</w:t>
      </w:r>
      <w:r w:rsidR="004D29E6" w:rsidRPr="009D63C8">
        <w:rPr>
          <w:rFonts w:ascii="Arial" w:hAnsi="Arial" w:cs="Arial"/>
          <w:sz w:val="22"/>
          <w:szCs w:val="22"/>
        </w:rPr>
        <w:t>is</w:t>
      </w:r>
      <w:r w:rsidRPr="009D63C8">
        <w:rPr>
          <w:rFonts w:ascii="Arial" w:hAnsi="Arial" w:cs="Arial"/>
          <w:sz w:val="22"/>
          <w:szCs w:val="22"/>
        </w:rPr>
        <w:t xml:space="preserve"> provides the overarching framework within which housing proposals for </w:t>
      </w:r>
      <w:r w:rsidR="008C0507" w:rsidRPr="009D63C8">
        <w:rPr>
          <w:rFonts w:ascii="Arial" w:hAnsi="Arial" w:cs="Arial"/>
          <w:sz w:val="22"/>
          <w:szCs w:val="22"/>
        </w:rPr>
        <w:t>Granville Road</w:t>
      </w:r>
      <w:r w:rsidRPr="009D63C8">
        <w:rPr>
          <w:rFonts w:ascii="Arial" w:hAnsi="Arial" w:cs="Arial"/>
          <w:sz w:val="22"/>
          <w:szCs w:val="22"/>
        </w:rPr>
        <w:t xml:space="preserve"> are framed.</w:t>
      </w:r>
    </w:p>
    <w:p w14:paraId="7B6B9844" w14:textId="4BF543DD" w:rsidR="00A018BA" w:rsidRPr="009D63C8" w:rsidRDefault="00B54D34" w:rsidP="004C5E08">
      <w:pPr>
        <w:pStyle w:val="Level2"/>
        <w:tabs>
          <w:tab w:val="clear" w:pos="851"/>
        </w:tabs>
        <w:ind w:left="709" w:hanging="709"/>
        <w:rPr>
          <w:rFonts w:ascii="Arial" w:hAnsi="Arial" w:cs="Arial"/>
          <w:sz w:val="22"/>
          <w:szCs w:val="22"/>
        </w:rPr>
      </w:pPr>
      <w:r>
        <w:rPr>
          <w:rFonts w:ascii="Arial" w:hAnsi="Arial" w:cs="Arial"/>
          <w:sz w:val="22"/>
          <w:szCs w:val="22"/>
        </w:rPr>
        <w:t xml:space="preserve">I have a </w:t>
      </w:r>
      <w:r w:rsidR="00B43D07">
        <w:rPr>
          <w:rFonts w:ascii="Arial" w:hAnsi="Arial" w:cs="Arial"/>
          <w:sz w:val="22"/>
          <w:szCs w:val="22"/>
        </w:rPr>
        <w:t>Degree in Philosophy and Literature</w:t>
      </w:r>
      <w:r w:rsidR="00111065">
        <w:rPr>
          <w:rFonts w:ascii="Arial" w:hAnsi="Arial" w:cs="Arial"/>
          <w:sz w:val="22"/>
          <w:szCs w:val="22"/>
        </w:rPr>
        <w:t>.</w:t>
      </w:r>
      <w:r w:rsidR="002C02A4" w:rsidRPr="009D63C8">
        <w:rPr>
          <w:rFonts w:ascii="Arial" w:hAnsi="Arial" w:cs="Arial"/>
          <w:sz w:val="22"/>
          <w:szCs w:val="22"/>
        </w:rPr>
        <w:t xml:space="preserve"> </w:t>
      </w:r>
    </w:p>
    <w:p w14:paraId="69BD5A71" w14:textId="77777777" w:rsidR="00132008" w:rsidRPr="009D63C8" w:rsidRDefault="00132008" w:rsidP="005374BF">
      <w:pPr>
        <w:pStyle w:val="Level2"/>
        <w:numPr>
          <w:ilvl w:val="0"/>
          <w:numId w:val="1"/>
        </w:numPr>
        <w:spacing w:before="240"/>
        <w:ind w:hanging="720"/>
        <w:rPr>
          <w:rFonts w:ascii="Arial" w:hAnsi="Arial" w:cs="Arial"/>
          <w:b/>
          <w:sz w:val="22"/>
          <w:szCs w:val="22"/>
        </w:rPr>
      </w:pPr>
      <w:r w:rsidRPr="009D63C8">
        <w:rPr>
          <w:rFonts w:ascii="Arial" w:hAnsi="Arial" w:cs="Arial"/>
          <w:b/>
          <w:sz w:val="22"/>
          <w:szCs w:val="22"/>
        </w:rPr>
        <w:t xml:space="preserve">The Council’s Housing Strategy </w:t>
      </w:r>
    </w:p>
    <w:p w14:paraId="20439711" w14:textId="3C63C8E6" w:rsidR="00EE6D48" w:rsidRDefault="00EE6D48" w:rsidP="00246561">
      <w:pPr>
        <w:pStyle w:val="Level2"/>
        <w:numPr>
          <w:ilvl w:val="1"/>
          <w:numId w:val="1"/>
        </w:numPr>
        <w:ind w:left="709"/>
        <w:rPr>
          <w:rFonts w:ascii="Arial" w:hAnsi="Arial" w:cs="Arial"/>
          <w:sz w:val="22"/>
          <w:szCs w:val="22"/>
        </w:rPr>
      </w:pPr>
      <w:r>
        <w:rPr>
          <w:rFonts w:ascii="Arial" w:hAnsi="Arial" w:cs="Arial"/>
          <w:sz w:val="22"/>
          <w:szCs w:val="22"/>
        </w:rPr>
        <w:t>The Council regularly produces a Housing Strategy</w:t>
      </w:r>
      <w:r w:rsidR="00ED630D">
        <w:rPr>
          <w:rFonts w:ascii="Arial" w:hAnsi="Arial" w:cs="Arial"/>
          <w:sz w:val="22"/>
          <w:szCs w:val="22"/>
        </w:rPr>
        <w:t xml:space="preserve"> document</w:t>
      </w:r>
      <w:r>
        <w:rPr>
          <w:rFonts w:ascii="Arial" w:hAnsi="Arial" w:cs="Arial"/>
          <w:sz w:val="22"/>
          <w:szCs w:val="22"/>
        </w:rPr>
        <w:t xml:space="preserve"> which </w:t>
      </w:r>
      <w:r w:rsidR="00111065">
        <w:rPr>
          <w:rFonts w:ascii="Arial" w:hAnsi="Arial" w:cs="Arial"/>
          <w:sz w:val="22"/>
          <w:szCs w:val="22"/>
        </w:rPr>
        <w:t>considers</w:t>
      </w:r>
      <w:r>
        <w:rPr>
          <w:rFonts w:ascii="Arial" w:hAnsi="Arial" w:cs="Arial"/>
          <w:sz w:val="22"/>
          <w:szCs w:val="22"/>
        </w:rPr>
        <w:t xml:space="preserve"> the current and anticipated housing needs of current and future residents. </w:t>
      </w:r>
    </w:p>
    <w:p w14:paraId="5C071DDF" w14:textId="77777777" w:rsidR="00EE6D48" w:rsidRPr="00246561" w:rsidRDefault="00EE6D48" w:rsidP="00246561">
      <w:pPr>
        <w:pStyle w:val="Level2"/>
        <w:numPr>
          <w:ilvl w:val="1"/>
          <w:numId w:val="1"/>
        </w:numPr>
        <w:ind w:left="709"/>
        <w:rPr>
          <w:rFonts w:ascii="Arial" w:hAnsi="Arial" w:cs="Arial"/>
          <w:sz w:val="22"/>
          <w:szCs w:val="22"/>
        </w:rPr>
      </w:pPr>
      <w:r>
        <w:rPr>
          <w:rFonts w:ascii="Arial" w:hAnsi="Arial" w:cs="Arial"/>
          <w:sz w:val="22"/>
          <w:szCs w:val="22"/>
        </w:rPr>
        <w:t>Since the inception of the Granville Road regeneration proposals, the Council has produced housing strategy documents in 2010 and 2015.</w:t>
      </w:r>
    </w:p>
    <w:p w14:paraId="01828E4C" w14:textId="47200788" w:rsidR="00246561" w:rsidRPr="00246561" w:rsidRDefault="00246561" w:rsidP="004C5E08">
      <w:pPr>
        <w:pStyle w:val="Level2"/>
        <w:numPr>
          <w:ilvl w:val="1"/>
          <w:numId w:val="1"/>
        </w:numPr>
        <w:ind w:left="709"/>
        <w:rPr>
          <w:rFonts w:ascii="Arial" w:hAnsi="Arial" w:cs="Arial"/>
          <w:sz w:val="22"/>
          <w:szCs w:val="22"/>
        </w:rPr>
      </w:pPr>
      <w:r w:rsidRPr="00246561">
        <w:rPr>
          <w:rFonts w:ascii="Arial" w:hAnsi="Arial" w:cs="Arial"/>
          <w:sz w:val="22"/>
          <w:szCs w:val="22"/>
        </w:rPr>
        <w:t>The 2010 and 2015 Housing Strategy</w:t>
      </w:r>
      <w:r w:rsidR="00EE6D48">
        <w:rPr>
          <w:rFonts w:ascii="Arial" w:hAnsi="Arial" w:cs="Arial"/>
          <w:sz w:val="22"/>
          <w:szCs w:val="22"/>
        </w:rPr>
        <w:t xml:space="preserve"> documents </w:t>
      </w:r>
      <w:r w:rsidRPr="00246561">
        <w:rPr>
          <w:rFonts w:ascii="Arial" w:hAnsi="Arial" w:cs="Arial"/>
          <w:sz w:val="22"/>
          <w:szCs w:val="22"/>
        </w:rPr>
        <w:t>are exh</w:t>
      </w:r>
      <w:r w:rsidR="00111065">
        <w:rPr>
          <w:rFonts w:ascii="Arial" w:hAnsi="Arial" w:cs="Arial"/>
          <w:sz w:val="22"/>
          <w:szCs w:val="22"/>
        </w:rPr>
        <w:t>ibited</w:t>
      </w:r>
      <w:r w:rsidR="00AD20F1">
        <w:rPr>
          <w:rFonts w:ascii="Arial" w:hAnsi="Arial" w:cs="Arial"/>
          <w:sz w:val="22"/>
          <w:szCs w:val="22"/>
        </w:rPr>
        <w:t xml:space="preserve"> with this proof as </w:t>
      </w:r>
      <w:r w:rsidR="002C558F">
        <w:rPr>
          <w:rFonts w:ascii="Arial" w:hAnsi="Arial" w:cs="Arial"/>
          <w:sz w:val="22"/>
          <w:szCs w:val="22"/>
        </w:rPr>
        <w:t>AA/</w:t>
      </w:r>
      <w:r w:rsidR="00AD20F1">
        <w:rPr>
          <w:rFonts w:ascii="Arial" w:hAnsi="Arial" w:cs="Arial"/>
          <w:sz w:val="22"/>
          <w:szCs w:val="22"/>
        </w:rPr>
        <w:t xml:space="preserve">PS </w:t>
      </w:r>
      <w:r w:rsidR="002C558F">
        <w:rPr>
          <w:rFonts w:ascii="Arial" w:hAnsi="Arial" w:cs="Arial"/>
          <w:sz w:val="22"/>
          <w:szCs w:val="22"/>
        </w:rPr>
        <w:t>3.1 and 3.</w:t>
      </w:r>
      <w:r w:rsidR="00111065">
        <w:rPr>
          <w:rFonts w:ascii="Arial" w:hAnsi="Arial" w:cs="Arial"/>
          <w:sz w:val="22"/>
          <w:szCs w:val="22"/>
        </w:rPr>
        <w:t>2</w:t>
      </w:r>
      <w:r w:rsidRPr="00246561">
        <w:rPr>
          <w:rFonts w:ascii="Arial" w:hAnsi="Arial" w:cs="Arial"/>
          <w:sz w:val="22"/>
          <w:szCs w:val="22"/>
        </w:rPr>
        <w:t xml:space="preserve">. </w:t>
      </w:r>
    </w:p>
    <w:p w14:paraId="0899B196" w14:textId="6965C5D9" w:rsidR="009A3A6C" w:rsidRPr="00246561" w:rsidRDefault="00246561" w:rsidP="004C5E08">
      <w:pPr>
        <w:pStyle w:val="Level2"/>
        <w:numPr>
          <w:ilvl w:val="1"/>
          <w:numId w:val="1"/>
        </w:numPr>
        <w:ind w:left="709"/>
        <w:rPr>
          <w:rFonts w:ascii="Arial" w:hAnsi="Arial" w:cs="Arial"/>
          <w:sz w:val="22"/>
          <w:szCs w:val="22"/>
        </w:rPr>
      </w:pPr>
      <w:r w:rsidRPr="00246561">
        <w:rPr>
          <w:rFonts w:ascii="Arial" w:hAnsi="Arial" w:cs="Arial"/>
          <w:sz w:val="22"/>
          <w:szCs w:val="22"/>
        </w:rPr>
        <w:t xml:space="preserve">The Granville Road proposals (approved under the planning permission (CD 20)) </w:t>
      </w:r>
      <w:r w:rsidR="00095110">
        <w:rPr>
          <w:rFonts w:ascii="Arial" w:hAnsi="Arial" w:cs="Arial"/>
          <w:sz w:val="22"/>
          <w:szCs w:val="22"/>
        </w:rPr>
        <w:t xml:space="preserve">will </w:t>
      </w:r>
      <w:r w:rsidRPr="00246561">
        <w:rPr>
          <w:rFonts w:ascii="Arial" w:hAnsi="Arial" w:cs="Arial"/>
          <w:sz w:val="22"/>
          <w:szCs w:val="22"/>
        </w:rPr>
        <w:t xml:space="preserve">contribute towards the Housing Strategy by </w:t>
      </w:r>
      <w:r w:rsidR="00111065" w:rsidRPr="00246561">
        <w:rPr>
          <w:rFonts w:ascii="Arial" w:hAnsi="Arial" w:cs="Arial"/>
          <w:sz w:val="22"/>
          <w:szCs w:val="22"/>
        </w:rPr>
        <w:t>contributing</w:t>
      </w:r>
      <w:r w:rsidRPr="00246561">
        <w:rPr>
          <w:rFonts w:ascii="Arial" w:hAnsi="Arial" w:cs="Arial"/>
          <w:sz w:val="22"/>
          <w:szCs w:val="22"/>
        </w:rPr>
        <w:t xml:space="preserve"> to meeting the housing needs of the Borough by providing 132</w:t>
      </w:r>
      <w:r w:rsidR="00EE6D48">
        <w:rPr>
          <w:rStyle w:val="FootnoteReference"/>
          <w:rFonts w:ascii="Arial" w:hAnsi="Arial" w:cs="Arial"/>
          <w:sz w:val="22"/>
          <w:szCs w:val="22"/>
        </w:rPr>
        <w:footnoteReference w:id="1"/>
      </w:r>
      <w:r w:rsidRPr="00246561">
        <w:rPr>
          <w:rFonts w:ascii="Arial" w:hAnsi="Arial" w:cs="Arial"/>
          <w:sz w:val="22"/>
          <w:szCs w:val="22"/>
        </w:rPr>
        <w:t xml:space="preserve"> new high quality </w:t>
      </w:r>
      <w:r w:rsidR="00EE6D48">
        <w:rPr>
          <w:rFonts w:ascii="Arial" w:hAnsi="Arial" w:cs="Arial"/>
          <w:sz w:val="22"/>
          <w:szCs w:val="22"/>
        </w:rPr>
        <w:t xml:space="preserve">mixed tenure </w:t>
      </w:r>
      <w:r w:rsidRPr="00246561">
        <w:rPr>
          <w:rFonts w:ascii="Arial" w:hAnsi="Arial" w:cs="Arial"/>
          <w:sz w:val="22"/>
          <w:szCs w:val="22"/>
        </w:rPr>
        <w:t>new homes</w:t>
      </w:r>
      <w:r w:rsidR="00EE6D48">
        <w:rPr>
          <w:rFonts w:ascii="Arial" w:hAnsi="Arial" w:cs="Arial"/>
          <w:sz w:val="22"/>
          <w:szCs w:val="22"/>
        </w:rPr>
        <w:t>.</w:t>
      </w:r>
      <w:r w:rsidR="00095110">
        <w:rPr>
          <w:rFonts w:ascii="Arial" w:hAnsi="Arial" w:cs="Arial"/>
          <w:sz w:val="22"/>
          <w:szCs w:val="22"/>
        </w:rPr>
        <w:t xml:space="preserve"> </w:t>
      </w:r>
    </w:p>
    <w:p w14:paraId="0B3E6EE9" w14:textId="09AEDCFA" w:rsidR="00843321" w:rsidRPr="009D63C8" w:rsidRDefault="00CF1533" w:rsidP="002C558F">
      <w:pPr>
        <w:pStyle w:val="ListParagraph"/>
        <w:keepNext/>
        <w:keepLines/>
        <w:overflowPunct/>
        <w:ind w:left="0" w:firstLine="709"/>
        <w:jc w:val="left"/>
        <w:rPr>
          <w:rFonts w:cs="Arial"/>
          <w:b/>
          <w:sz w:val="22"/>
          <w:szCs w:val="22"/>
        </w:rPr>
      </w:pPr>
      <w:r w:rsidRPr="009D63C8">
        <w:rPr>
          <w:rFonts w:cs="Arial"/>
          <w:b/>
          <w:sz w:val="22"/>
          <w:szCs w:val="22"/>
        </w:rPr>
        <w:lastRenderedPageBreak/>
        <w:t>Housing Strategy 2010- 2025</w:t>
      </w:r>
    </w:p>
    <w:p w14:paraId="75318E16" w14:textId="77777777" w:rsidR="00CF1533" w:rsidRPr="009D63C8" w:rsidRDefault="00CF1533" w:rsidP="002C558F">
      <w:pPr>
        <w:pStyle w:val="ListParagraph"/>
        <w:keepNext/>
        <w:keepLines/>
        <w:overflowPunct/>
        <w:ind w:left="709"/>
        <w:jc w:val="left"/>
        <w:rPr>
          <w:rFonts w:cs="Arial"/>
          <w:b/>
          <w:sz w:val="22"/>
          <w:szCs w:val="22"/>
        </w:rPr>
      </w:pPr>
    </w:p>
    <w:p w14:paraId="0924D559" w14:textId="62DF08D5" w:rsidR="005940A4" w:rsidRPr="009D63C8" w:rsidRDefault="00132008" w:rsidP="002C558F">
      <w:pPr>
        <w:pStyle w:val="Level2"/>
        <w:keepNext/>
        <w:keepLines/>
        <w:numPr>
          <w:ilvl w:val="1"/>
          <w:numId w:val="1"/>
        </w:numPr>
        <w:ind w:left="709"/>
        <w:rPr>
          <w:rFonts w:ascii="Arial" w:hAnsi="Arial" w:cs="Arial"/>
          <w:sz w:val="22"/>
          <w:szCs w:val="22"/>
        </w:rPr>
      </w:pPr>
      <w:r w:rsidRPr="009D63C8">
        <w:rPr>
          <w:rFonts w:ascii="Arial" w:hAnsi="Arial" w:cs="Arial"/>
          <w:sz w:val="22"/>
          <w:szCs w:val="22"/>
        </w:rPr>
        <w:t>Barnet’s</w:t>
      </w:r>
      <w:r w:rsidR="00025C39" w:rsidRPr="009D63C8">
        <w:rPr>
          <w:rFonts w:ascii="Arial" w:hAnsi="Arial" w:cs="Arial"/>
          <w:sz w:val="22"/>
          <w:szCs w:val="22"/>
        </w:rPr>
        <w:t xml:space="preserve"> </w:t>
      </w:r>
      <w:r w:rsidRPr="009D63C8">
        <w:rPr>
          <w:rFonts w:ascii="Arial" w:hAnsi="Arial" w:cs="Arial"/>
          <w:sz w:val="22"/>
          <w:szCs w:val="22"/>
        </w:rPr>
        <w:t>Housing Strategy</w:t>
      </w:r>
      <w:r w:rsidR="009A3A6C" w:rsidRPr="009D63C8">
        <w:rPr>
          <w:rFonts w:ascii="Arial" w:hAnsi="Arial" w:cs="Arial"/>
          <w:sz w:val="22"/>
          <w:szCs w:val="22"/>
        </w:rPr>
        <w:t xml:space="preserve"> 2010-2025</w:t>
      </w:r>
      <w:r w:rsidRPr="009D63C8">
        <w:rPr>
          <w:rFonts w:ascii="Arial" w:hAnsi="Arial" w:cs="Arial"/>
          <w:sz w:val="22"/>
          <w:szCs w:val="22"/>
        </w:rPr>
        <w:t xml:space="preserve"> was by the Council’s Cabinet </w:t>
      </w:r>
      <w:r w:rsidR="00EE6D48">
        <w:rPr>
          <w:rFonts w:ascii="Arial" w:hAnsi="Arial" w:cs="Arial"/>
          <w:sz w:val="22"/>
          <w:szCs w:val="22"/>
        </w:rPr>
        <w:t xml:space="preserve">on 12 April </w:t>
      </w:r>
      <w:r w:rsidRPr="009D63C8">
        <w:rPr>
          <w:rFonts w:ascii="Arial" w:hAnsi="Arial" w:cs="Arial"/>
          <w:sz w:val="22"/>
          <w:szCs w:val="22"/>
        </w:rPr>
        <w:t>2010, and ha</w:t>
      </w:r>
      <w:r w:rsidR="002933D2" w:rsidRPr="009D63C8">
        <w:rPr>
          <w:rFonts w:ascii="Arial" w:hAnsi="Arial" w:cs="Arial"/>
          <w:sz w:val="22"/>
          <w:szCs w:val="22"/>
        </w:rPr>
        <w:t>d</w:t>
      </w:r>
      <w:r w:rsidRPr="009D63C8">
        <w:rPr>
          <w:rFonts w:ascii="Arial" w:hAnsi="Arial" w:cs="Arial"/>
          <w:sz w:val="22"/>
          <w:szCs w:val="22"/>
        </w:rPr>
        <w:t xml:space="preserve"> the overarching objective of </w:t>
      </w:r>
      <w:r w:rsidR="008349D8">
        <w:rPr>
          <w:rFonts w:ascii="Arial" w:hAnsi="Arial" w:cs="Arial"/>
          <w:sz w:val="22"/>
          <w:szCs w:val="22"/>
        </w:rPr>
        <w:t>'</w:t>
      </w:r>
      <w:r w:rsidRPr="009D63C8">
        <w:rPr>
          <w:rFonts w:ascii="Arial" w:hAnsi="Arial" w:cs="Arial"/>
          <w:i/>
          <w:sz w:val="22"/>
          <w:szCs w:val="22"/>
        </w:rPr>
        <w:t xml:space="preserve">Providing housing choices that meet the needs and aspirations of Barnet </w:t>
      </w:r>
      <w:r w:rsidR="009A3A6C" w:rsidRPr="009D63C8">
        <w:rPr>
          <w:rFonts w:ascii="Arial" w:hAnsi="Arial" w:cs="Arial"/>
          <w:i/>
          <w:sz w:val="22"/>
          <w:szCs w:val="22"/>
        </w:rPr>
        <w:t>residents</w:t>
      </w:r>
      <w:r w:rsidR="008349D8">
        <w:rPr>
          <w:rFonts w:ascii="Arial" w:hAnsi="Arial" w:cs="Arial"/>
          <w:i/>
          <w:sz w:val="22"/>
          <w:szCs w:val="22"/>
        </w:rPr>
        <w:t>'</w:t>
      </w:r>
      <w:r w:rsidR="009A3A6C" w:rsidRPr="009D63C8">
        <w:rPr>
          <w:rFonts w:ascii="Arial" w:hAnsi="Arial" w:cs="Arial"/>
          <w:sz w:val="22"/>
          <w:szCs w:val="22"/>
        </w:rPr>
        <w:t xml:space="preserve"> </w:t>
      </w:r>
      <w:r w:rsidR="00246561">
        <w:rPr>
          <w:rFonts w:ascii="Arial" w:hAnsi="Arial" w:cs="Arial"/>
          <w:sz w:val="22"/>
          <w:szCs w:val="22"/>
        </w:rPr>
        <w:t>(</w:t>
      </w:r>
      <w:r w:rsidR="002C558F">
        <w:rPr>
          <w:rFonts w:ascii="Arial" w:hAnsi="Arial" w:cs="Arial"/>
          <w:sz w:val="22"/>
          <w:szCs w:val="22"/>
        </w:rPr>
        <w:t>AA/</w:t>
      </w:r>
      <w:r w:rsidR="00246561">
        <w:rPr>
          <w:rFonts w:ascii="Arial" w:hAnsi="Arial" w:cs="Arial"/>
          <w:sz w:val="22"/>
          <w:szCs w:val="22"/>
        </w:rPr>
        <w:t xml:space="preserve">PS </w:t>
      </w:r>
      <w:r w:rsidR="002C558F">
        <w:rPr>
          <w:rFonts w:ascii="Arial" w:hAnsi="Arial" w:cs="Arial"/>
          <w:sz w:val="22"/>
          <w:szCs w:val="22"/>
        </w:rPr>
        <w:t>3.</w:t>
      </w:r>
      <w:r w:rsidR="00246561">
        <w:rPr>
          <w:rFonts w:ascii="Arial" w:hAnsi="Arial" w:cs="Arial"/>
          <w:sz w:val="22"/>
          <w:szCs w:val="22"/>
        </w:rPr>
        <w:t>1</w:t>
      </w:r>
      <w:r w:rsidR="00AB6775">
        <w:rPr>
          <w:rFonts w:ascii="Arial" w:hAnsi="Arial" w:cs="Arial"/>
          <w:sz w:val="22"/>
          <w:szCs w:val="22"/>
        </w:rPr>
        <w:t xml:space="preserve"> </w:t>
      </w:r>
      <w:r w:rsidR="00111065">
        <w:rPr>
          <w:rFonts w:ascii="Arial" w:hAnsi="Arial" w:cs="Arial"/>
          <w:sz w:val="22"/>
          <w:szCs w:val="22"/>
        </w:rPr>
        <w:t>Cover page</w:t>
      </w:r>
      <w:r w:rsidR="00AB6775">
        <w:rPr>
          <w:rFonts w:ascii="Arial" w:hAnsi="Arial" w:cs="Arial"/>
          <w:sz w:val="22"/>
          <w:szCs w:val="22"/>
        </w:rPr>
        <w:t>)</w:t>
      </w:r>
      <w:r w:rsidR="008349D8">
        <w:rPr>
          <w:rFonts w:ascii="Arial" w:hAnsi="Arial" w:cs="Arial"/>
          <w:sz w:val="22"/>
          <w:szCs w:val="22"/>
        </w:rPr>
        <w:t>.</w:t>
      </w:r>
    </w:p>
    <w:p w14:paraId="6519700D" w14:textId="77777777" w:rsidR="00937034" w:rsidRPr="009D63C8" w:rsidRDefault="005940A4" w:rsidP="00D73ED6">
      <w:pPr>
        <w:pStyle w:val="Level2"/>
        <w:numPr>
          <w:ilvl w:val="1"/>
          <w:numId w:val="1"/>
        </w:numPr>
        <w:ind w:left="709"/>
        <w:rPr>
          <w:rFonts w:ascii="Arial" w:eastAsia="Calibri" w:hAnsi="Arial" w:cs="Arial"/>
          <w:sz w:val="22"/>
          <w:szCs w:val="22"/>
        </w:rPr>
      </w:pPr>
      <w:r w:rsidRPr="009D63C8">
        <w:rPr>
          <w:rFonts w:ascii="Arial" w:hAnsi="Arial" w:cs="Arial"/>
          <w:sz w:val="22"/>
          <w:szCs w:val="22"/>
        </w:rPr>
        <w:t>Barnet’s 2010</w:t>
      </w:r>
      <w:r w:rsidR="00095110">
        <w:rPr>
          <w:rFonts w:ascii="Arial" w:hAnsi="Arial" w:cs="Arial"/>
          <w:sz w:val="22"/>
          <w:szCs w:val="22"/>
        </w:rPr>
        <w:t>-2025</w:t>
      </w:r>
      <w:r w:rsidRPr="009D63C8">
        <w:rPr>
          <w:rFonts w:ascii="Arial" w:hAnsi="Arial" w:cs="Arial"/>
          <w:sz w:val="22"/>
          <w:szCs w:val="22"/>
        </w:rPr>
        <w:t xml:space="preserve"> </w:t>
      </w:r>
      <w:r w:rsidR="00132008" w:rsidRPr="009D63C8">
        <w:rPr>
          <w:rFonts w:ascii="Arial" w:hAnsi="Arial" w:cs="Arial"/>
          <w:sz w:val="22"/>
          <w:szCs w:val="22"/>
        </w:rPr>
        <w:t>Housing Strategy</w:t>
      </w:r>
      <w:r w:rsidR="00817F73" w:rsidRPr="009D63C8">
        <w:rPr>
          <w:rFonts w:ascii="Arial" w:hAnsi="Arial" w:cs="Arial"/>
          <w:sz w:val="22"/>
          <w:szCs w:val="22"/>
        </w:rPr>
        <w:t xml:space="preserve"> </w:t>
      </w:r>
      <w:r w:rsidR="00132008" w:rsidRPr="009D63C8">
        <w:rPr>
          <w:rFonts w:ascii="Arial" w:hAnsi="Arial" w:cs="Arial"/>
          <w:sz w:val="22"/>
          <w:szCs w:val="22"/>
        </w:rPr>
        <w:t xml:space="preserve">sets out how the </w:t>
      </w:r>
      <w:r w:rsidR="00AD5C2F" w:rsidRPr="009D63C8">
        <w:rPr>
          <w:rFonts w:ascii="Arial" w:hAnsi="Arial" w:cs="Arial"/>
          <w:sz w:val="22"/>
          <w:szCs w:val="22"/>
        </w:rPr>
        <w:t>C</w:t>
      </w:r>
      <w:r w:rsidR="00132008" w:rsidRPr="009D63C8">
        <w:rPr>
          <w:rFonts w:ascii="Arial" w:hAnsi="Arial" w:cs="Arial"/>
          <w:sz w:val="22"/>
          <w:szCs w:val="22"/>
        </w:rPr>
        <w:t xml:space="preserve">ouncil will deal with </w:t>
      </w:r>
      <w:r w:rsidR="009A3A6C" w:rsidRPr="009D63C8">
        <w:rPr>
          <w:rFonts w:ascii="Arial" w:hAnsi="Arial" w:cs="Arial"/>
          <w:sz w:val="22"/>
          <w:szCs w:val="22"/>
        </w:rPr>
        <w:t>several</w:t>
      </w:r>
      <w:r w:rsidR="00132008" w:rsidRPr="009D63C8">
        <w:rPr>
          <w:rFonts w:ascii="Arial" w:hAnsi="Arial" w:cs="Arial"/>
          <w:sz w:val="22"/>
          <w:szCs w:val="22"/>
        </w:rPr>
        <w:t xml:space="preserve"> challenges including high prices, a shortage of affordable housing and a potential threat to the qualities that make the </w:t>
      </w:r>
      <w:r w:rsidR="007E097D" w:rsidRPr="009D63C8">
        <w:rPr>
          <w:rFonts w:ascii="Arial" w:hAnsi="Arial" w:cs="Arial"/>
          <w:sz w:val="22"/>
          <w:szCs w:val="22"/>
        </w:rPr>
        <w:t>B</w:t>
      </w:r>
      <w:r w:rsidR="00132008" w:rsidRPr="009D63C8">
        <w:rPr>
          <w:rFonts w:ascii="Arial" w:hAnsi="Arial" w:cs="Arial"/>
          <w:sz w:val="22"/>
          <w:szCs w:val="22"/>
        </w:rPr>
        <w:t xml:space="preserve">orough attractive. </w:t>
      </w:r>
      <w:r w:rsidR="00AB219F" w:rsidRPr="009D63C8">
        <w:rPr>
          <w:rFonts w:ascii="Arial" w:hAnsi="Arial" w:cs="Arial"/>
          <w:sz w:val="22"/>
          <w:szCs w:val="22"/>
        </w:rPr>
        <w:t xml:space="preserve">In </w:t>
      </w:r>
      <w:r w:rsidR="009A3A6C" w:rsidRPr="009D63C8">
        <w:rPr>
          <w:rFonts w:ascii="Arial" w:hAnsi="Arial" w:cs="Arial"/>
          <w:sz w:val="22"/>
          <w:szCs w:val="22"/>
        </w:rPr>
        <w:t>addition,</w:t>
      </w:r>
      <w:r w:rsidR="00AB219F" w:rsidRPr="009D63C8">
        <w:rPr>
          <w:rFonts w:ascii="Arial" w:hAnsi="Arial" w:cs="Arial"/>
          <w:sz w:val="22"/>
          <w:szCs w:val="22"/>
        </w:rPr>
        <w:t xml:space="preserve"> </w:t>
      </w:r>
      <w:r w:rsidR="00AB219F" w:rsidRPr="009D63C8">
        <w:rPr>
          <w:rFonts w:ascii="Arial" w:eastAsia="Calibri" w:hAnsi="Arial" w:cs="Arial"/>
          <w:sz w:val="22"/>
          <w:szCs w:val="22"/>
        </w:rPr>
        <w:t xml:space="preserve">it was recognised that in some areas, particularly in the West of the </w:t>
      </w:r>
      <w:r w:rsidR="00081651" w:rsidRPr="009D63C8">
        <w:rPr>
          <w:rFonts w:ascii="Arial" w:eastAsia="Calibri" w:hAnsi="Arial" w:cs="Arial"/>
          <w:sz w:val="22"/>
          <w:szCs w:val="22"/>
        </w:rPr>
        <w:t xml:space="preserve">Borough </w:t>
      </w:r>
      <w:r w:rsidR="00AB219F" w:rsidRPr="009D63C8">
        <w:rPr>
          <w:rFonts w:ascii="Arial" w:eastAsia="Calibri" w:hAnsi="Arial" w:cs="Arial"/>
          <w:sz w:val="22"/>
          <w:szCs w:val="22"/>
        </w:rPr>
        <w:t xml:space="preserve">there were opportunities for significant transformation and regeneration without damaging successful suburban areas. </w:t>
      </w:r>
    </w:p>
    <w:p w14:paraId="1BEC8FD2" w14:textId="7386B0D6" w:rsidR="00095110" w:rsidRPr="00AB6775" w:rsidRDefault="00AB6775" w:rsidP="00142492">
      <w:pPr>
        <w:pStyle w:val="Level2"/>
        <w:numPr>
          <w:ilvl w:val="1"/>
          <w:numId w:val="1"/>
        </w:numPr>
        <w:ind w:left="709"/>
        <w:rPr>
          <w:rFonts w:ascii="Arial" w:hAnsi="Arial" w:cs="Arial"/>
          <w:color w:val="1F497D"/>
          <w:sz w:val="22"/>
          <w:szCs w:val="22"/>
        </w:rPr>
      </w:pPr>
      <w:r>
        <w:rPr>
          <w:rFonts w:ascii="Arial" w:hAnsi="Arial" w:cs="Arial"/>
          <w:sz w:val="22"/>
          <w:szCs w:val="22"/>
        </w:rPr>
        <w:t>Granville Road is specifically identified a priority for investment in section 9 of the 2010-2025 Housing Strategy which explains the Council’s Borough Investment Plan. (</w:t>
      </w:r>
      <w:r w:rsidR="008349D8">
        <w:rPr>
          <w:rFonts w:ascii="Arial" w:hAnsi="Arial" w:cs="Arial"/>
          <w:sz w:val="22"/>
          <w:szCs w:val="22"/>
        </w:rPr>
        <w:t>AA/</w:t>
      </w:r>
      <w:r>
        <w:rPr>
          <w:rFonts w:ascii="Arial" w:hAnsi="Arial" w:cs="Arial"/>
          <w:sz w:val="22"/>
          <w:szCs w:val="22"/>
        </w:rPr>
        <w:t>PS</w:t>
      </w:r>
      <w:r w:rsidR="008349D8">
        <w:rPr>
          <w:rFonts w:ascii="Arial" w:hAnsi="Arial" w:cs="Arial"/>
          <w:sz w:val="22"/>
          <w:szCs w:val="22"/>
        </w:rPr>
        <w:t xml:space="preserve"> 3.</w:t>
      </w:r>
      <w:r>
        <w:rPr>
          <w:rFonts w:ascii="Arial" w:hAnsi="Arial" w:cs="Arial"/>
          <w:sz w:val="22"/>
          <w:szCs w:val="22"/>
        </w:rPr>
        <w:t xml:space="preserve">1. </w:t>
      </w:r>
      <w:r w:rsidR="008349D8">
        <w:rPr>
          <w:rFonts w:ascii="Arial" w:hAnsi="Arial" w:cs="Arial"/>
          <w:sz w:val="22"/>
          <w:szCs w:val="22"/>
        </w:rPr>
        <w:t xml:space="preserve">top of </w:t>
      </w:r>
      <w:r>
        <w:rPr>
          <w:rFonts w:ascii="Arial" w:hAnsi="Arial" w:cs="Arial"/>
          <w:sz w:val="22"/>
          <w:szCs w:val="22"/>
        </w:rPr>
        <w:t xml:space="preserve">Table </w:t>
      </w:r>
      <w:r w:rsidR="008349D8">
        <w:rPr>
          <w:rFonts w:ascii="Arial" w:hAnsi="Arial" w:cs="Arial"/>
          <w:sz w:val="22"/>
          <w:szCs w:val="22"/>
        </w:rPr>
        <w:t xml:space="preserve">at </w:t>
      </w:r>
      <w:r>
        <w:rPr>
          <w:rFonts w:ascii="Arial" w:hAnsi="Arial" w:cs="Arial"/>
          <w:sz w:val="22"/>
          <w:szCs w:val="22"/>
        </w:rPr>
        <w:t>page 32)</w:t>
      </w:r>
    </w:p>
    <w:p w14:paraId="5D5630BF" w14:textId="6849D9E6" w:rsidR="00095110" w:rsidRPr="00902B1B" w:rsidRDefault="00353FFC" w:rsidP="00142492">
      <w:pPr>
        <w:pStyle w:val="Level2"/>
        <w:numPr>
          <w:ilvl w:val="1"/>
          <w:numId w:val="1"/>
        </w:numPr>
        <w:ind w:left="709"/>
        <w:rPr>
          <w:rFonts w:ascii="Arial" w:hAnsi="Arial" w:cs="Arial"/>
          <w:color w:val="1F497D"/>
          <w:sz w:val="22"/>
          <w:szCs w:val="22"/>
        </w:rPr>
      </w:pPr>
      <w:r w:rsidRPr="009D63C8">
        <w:rPr>
          <w:rFonts w:ascii="Arial" w:hAnsi="Arial" w:cs="Arial"/>
          <w:sz w:val="22"/>
          <w:szCs w:val="22"/>
        </w:rPr>
        <w:t>Barnet’s 2010</w:t>
      </w:r>
      <w:r w:rsidR="00095110">
        <w:rPr>
          <w:rFonts w:ascii="Arial" w:hAnsi="Arial" w:cs="Arial"/>
          <w:sz w:val="22"/>
          <w:szCs w:val="22"/>
        </w:rPr>
        <w:t>-2025</w:t>
      </w:r>
      <w:r w:rsidRPr="009D63C8">
        <w:rPr>
          <w:rFonts w:ascii="Arial" w:hAnsi="Arial" w:cs="Arial"/>
          <w:sz w:val="22"/>
          <w:szCs w:val="22"/>
        </w:rPr>
        <w:t xml:space="preserve"> Housing Strategy included the objective </w:t>
      </w:r>
      <w:r w:rsidRPr="009D63C8">
        <w:rPr>
          <w:rFonts w:ascii="Arial" w:hAnsi="Arial" w:cs="Arial"/>
          <w:i/>
          <w:sz w:val="22"/>
          <w:szCs w:val="22"/>
        </w:rPr>
        <w:t>Increasing housing supply, including family sized homes, to improve the range of housing choices and opportunities available to residents</w:t>
      </w:r>
      <w:r w:rsidR="00095110">
        <w:rPr>
          <w:rFonts w:ascii="Arial" w:hAnsi="Arial" w:cs="Arial"/>
          <w:sz w:val="22"/>
          <w:szCs w:val="22"/>
        </w:rPr>
        <w:t xml:space="preserve"> </w:t>
      </w:r>
      <w:r w:rsidR="00AB6775">
        <w:rPr>
          <w:rFonts w:ascii="Arial" w:hAnsi="Arial" w:cs="Arial"/>
          <w:sz w:val="22"/>
          <w:szCs w:val="22"/>
        </w:rPr>
        <w:t>(</w:t>
      </w:r>
      <w:r w:rsidR="0073095F">
        <w:rPr>
          <w:rFonts w:ascii="Arial" w:hAnsi="Arial" w:cs="Arial"/>
          <w:sz w:val="22"/>
          <w:szCs w:val="22"/>
        </w:rPr>
        <w:t>AA/PS 3.1</w:t>
      </w:r>
      <w:r w:rsidR="00AB6775">
        <w:rPr>
          <w:rFonts w:ascii="Arial" w:hAnsi="Arial" w:cs="Arial"/>
          <w:sz w:val="22"/>
          <w:szCs w:val="22"/>
        </w:rPr>
        <w:t xml:space="preserve"> </w:t>
      </w:r>
      <w:r w:rsidR="0073095F">
        <w:rPr>
          <w:rFonts w:ascii="Arial" w:hAnsi="Arial" w:cs="Arial"/>
          <w:sz w:val="22"/>
          <w:szCs w:val="22"/>
        </w:rPr>
        <w:t xml:space="preserve">heading at </w:t>
      </w:r>
      <w:r w:rsidR="00AB6775">
        <w:rPr>
          <w:rFonts w:ascii="Arial" w:hAnsi="Arial" w:cs="Arial"/>
          <w:sz w:val="22"/>
          <w:szCs w:val="22"/>
        </w:rPr>
        <w:t>Page 6</w:t>
      </w:r>
      <w:r w:rsidR="00095110">
        <w:rPr>
          <w:rFonts w:ascii="Arial" w:hAnsi="Arial" w:cs="Arial"/>
          <w:sz w:val="22"/>
          <w:szCs w:val="22"/>
        </w:rPr>
        <w:t>)</w:t>
      </w:r>
      <w:r w:rsidRPr="009D63C8">
        <w:rPr>
          <w:rFonts w:ascii="Arial" w:hAnsi="Arial" w:cs="Arial"/>
          <w:i/>
          <w:sz w:val="22"/>
          <w:szCs w:val="22"/>
        </w:rPr>
        <w:t xml:space="preserve">, </w:t>
      </w:r>
      <w:r w:rsidRPr="009D63C8">
        <w:rPr>
          <w:rFonts w:ascii="Arial" w:hAnsi="Arial" w:cs="Arial"/>
          <w:sz w:val="22"/>
          <w:szCs w:val="22"/>
        </w:rPr>
        <w:t xml:space="preserve">which </w:t>
      </w:r>
      <w:r w:rsidR="00142492" w:rsidRPr="009D63C8">
        <w:rPr>
          <w:rFonts w:ascii="Arial" w:hAnsi="Arial" w:cs="Arial"/>
          <w:sz w:val="22"/>
          <w:szCs w:val="22"/>
        </w:rPr>
        <w:t xml:space="preserve">the Granville Road estate proposals </w:t>
      </w:r>
      <w:r w:rsidRPr="009D63C8">
        <w:rPr>
          <w:rFonts w:ascii="Arial" w:hAnsi="Arial" w:cs="Arial"/>
          <w:sz w:val="22"/>
          <w:szCs w:val="22"/>
        </w:rPr>
        <w:t xml:space="preserve">will contribute to by providing </w:t>
      </w:r>
      <w:r w:rsidR="009D63C8" w:rsidRPr="009D63C8">
        <w:rPr>
          <w:rFonts w:ascii="Arial" w:hAnsi="Arial" w:cs="Arial"/>
          <w:sz w:val="22"/>
          <w:szCs w:val="22"/>
        </w:rPr>
        <w:t xml:space="preserve">132 </w:t>
      </w:r>
      <w:r w:rsidRPr="009D63C8">
        <w:rPr>
          <w:rFonts w:ascii="Arial" w:hAnsi="Arial" w:cs="Arial"/>
          <w:sz w:val="22"/>
          <w:szCs w:val="22"/>
        </w:rPr>
        <w:t>new homes in the borough</w:t>
      </w:r>
      <w:r w:rsidRPr="009D63C8">
        <w:rPr>
          <w:rFonts w:ascii="Arial" w:hAnsi="Arial" w:cs="Arial"/>
          <w:i/>
          <w:sz w:val="22"/>
          <w:szCs w:val="22"/>
        </w:rPr>
        <w:t>.</w:t>
      </w:r>
      <w:r w:rsidR="00C72426">
        <w:rPr>
          <w:rFonts w:ascii="Arial" w:hAnsi="Arial" w:cs="Arial"/>
          <w:sz w:val="22"/>
          <w:szCs w:val="22"/>
        </w:rPr>
        <w:t xml:space="preserve"> The new homes will comprise 74 flats and 58 houses in a mix of bedroom sizes ranging from 2 bedrooms to 4 bedrooms, and 35% will be affordable</w:t>
      </w:r>
      <w:r w:rsidR="00095110">
        <w:rPr>
          <w:rFonts w:ascii="Arial" w:hAnsi="Arial" w:cs="Arial"/>
          <w:sz w:val="22"/>
          <w:szCs w:val="22"/>
        </w:rPr>
        <w:t>.</w:t>
      </w:r>
    </w:p>
    <w:p w14:paraId="3FF3DF5C" w14:textId="7CAC55D0" w:rsidR="00902B1B" w:rsidRPr="001D549C" w:rsidRDefault="00902B1B" w:rsidP="00142492">
      <w:pPr>
        <w:pStyle w:val="Level2"/>
        <w:numPr>
          <w:ilvl w:val="1"/>
          <w:numId w:val="1"/>
        </w:numPr>
        <w:ind w:left="709"/>
        <w:rPr>
          <w:rFonts w:ascii="Arial" w:hAnsi="Arial" w:cs="Arial"/>
          <w:color w:val="000000" w:themeColor="text1"/>
          <w:sz w:val="22"/>
          <w:szCs w:val="22"/>
        </w:rPr>
      </w:pPr>
      <w:r w:rsidRPr="001D549C">
        <w:rPr>
          <w:rFonts w:ascii="Arial" w:hAnsi="Arial" w:cs="Arial"/>
          <w:color w:val="000000" w:themeColor="text1"/>
          <w:sz w:val="22"/>
          <w:szCs w:val="22"/>
        </w:rPr>
        <w:t>The 2010-2025 Housing Strategy also talks about the importance providing family sized accommodation (</w:t>
      </w:r>
      <w:r w:rsidR="008349D8">
        <w:rPr>
          <w:rFonts w:ascii="Arial" w:hAnsi="Arial" w:cs="Arial"/>
          <w:color w:val="000000" w:themeColor="text1"/>
          <w:sz w:val="22"/>
          <w:szCs w:val="22"/>
        </w:rPr>
        <w:t>AA/</w:t>
      </w:r>
      <w:r w:rsidRPr="001D549C">
        <w:rPr>
          <w:rFonts w:ascii="Arial" w:hAnsi="Arial" w:cs="Arial"/>
          <w:color w:val="000000" w:themeColor="text1"/>
          <w:sz w:val="22"/>
          <w:szCs w:val="22"/>
        </w:rPr>
        <w:t>PS</w:t>
      </w:r>
      <w:r w:rsidR="008349D8">
        <w:rPr>
          <w:rFonts w:ascii="Arial" w:hAnsi="Arial" w:cs="Arial"/>
          <w:color w:val="000000" w:themeColor="text1"/>
          <w:sz w:val="22"/>
          <w:szCs w:val="22"/>
        </w:rPr>
        <w:t>3.</w:t>
      </w:r>
      <w:r w:rsidRPr="001D549C">
        <w:rPr>
          <w:rFonts w:ascii="Arial" w:hAnsi="Arial" w:cs="Arial"/>
          <w:color w:val="000000" w:themeColor="text1"/>
          <w:sz w:val="22"/>
          <w:szCs w:val="22"/>
        </w:rPr>
        <w:t>1</w:t>
      </w:r>
      <w:r w:rsidR="008349D8">
        <w:rPr>
          <w:rFonts w:ascii="Arial" w:hAnsi="Arial" w:cs="Arial"/>
          <w:color w:val="000000" w:themeColor="text1"/>
          <w:sz w:val="22"/>
          <w:szCs w:val="22"/>
        </w:rPr>
        <w:t xml:space="preserve"> </w:t>
      </w:r>
      <w:r w:rsidRPr="001D549C">
        <w:rPr>
          <w:rFonts w:ascii="Arial" w:hAnsi="Arial" w:cs="Arial"/>
          <w:color w:val="000000" w:themeColor="text1"/>
          <w:sz w:val="22"/>
          <w:szCs w:val="22"/>
        </w:rPr>
        <w:t xml:space="preserve">Page 8 and Page 9) and the aim of ensuring that 70% of new homes have at least 2 bedrooms; the new homes at Granville Road will all have at least 2 bedrooms. </w:t>
      </w:r>
    </w:p>
    <w:p w14:paraId="51836E75" w14:textId="3F848B6D" w:rsidR="00823EB3" w:rsidRPr="009D63C8" w:rsidRDefault="00823EB3" w:rsidP="005810E1">
      <w:pPr>
        <w:pStyle w:val="ListParagraph"/>
        <w:overflowPunct/>
        <w:ind w:left="0" w:firstLine="709"/>
        <w:jc w:val="left"/>
        <w:rPr>
          <w:rFonts w:cs="Arial"/>
          <w:b/>
          <w:sz w:val="22"/>
          <w:szCs w:val="22"/>
        </w:rPr>
      </w:pPr>
      <w:r w:rsidRPr="009D63C8">
        <w:rPr>
          <w:rFonts w:cs="Arial"/>
          <w:b/>
          <w:sz w:val="22"/>
          <w:szCs w:val="22"/>
        </w:rPr>
        <w:t>Housing Strategy 2015- 2025</w:t>
      </w:r>
      <w:r w:rsidR="00B97257" w:rsidRPr="009D63C8">
        <w:rPr>
          <w:rFonts w:cs="Arial"/>
          <w:b/>
          <w:sz w:val="22"/>
          <w:szCs w:val="22"/>
        </w:rPr>
        <w:t xml:space="preserve"> </w:t>
      </w:r>
    </w:p>
    <w:p w14:paraId="3A314D08" w14:textId="77777777" w:rsidR="00823EB3" w:rsidRPr="009D63C8" w:rsidRDefault="00823EB3" w:rsidP="005810E1">
      <w:pPr>
        <w:overflowPunct/>
        <w:ind w:left="1418" w:right="1229"/>
        <w:jc w:val="left"/>
        <w:textAlignment w:val="auto"/>
        <w:rPr>
          <w:rFonts w:cs="Arial"/>
          <w:b/>
          <w:i/>
          <w:sz w:val="22"/>
          <w:szCs w:val="22"/>
        </w:rPr>
      </w:pPr>
    </w:p>
    <w:p w14:paraId="1064ED2C" w14:textId="67F2A634" w:rsidR="001C0C4E" w:rsidRPr="00AF136B" w:rsidRDefault="00D463BD" w:rsidP="00ED630D">
      <w:pPr>
        <w:pStyle w:val="Level2"/>
        <w:numPr>
          <w:ilvl w:val="1"/>
          <w:numId w:val="1"/>
        </w:numPr>
        <w:ind w:left="709"/>
        <w:rPr>
          <w:rFonts w:ascii="Arial" w:hAnsi="Arial" w:cs="Arial"/>
          <w:sz w:val="22"/>
          <w:szCs w:val="22"/>
        </w:rPr>
      </w:pPr>
      <w:r w:rsidRPr="00ED630D">
        <w:rPr>
          <w:rFonts w:ascii="Arial" w:hAnsi="Arial" w:cs="Arial"/>
          <w:sz w:val="22"/>
          <w:szCs w:val="22"/>
        </w:rPr>
        <w:t>The Council</w:t>
      </w:r>
      <w:r w:rsidR="00B81E2D" w:rsidRPr="00ED630D">
        <w:rPr>
          <w:rFonts w:ascii="Arial" w:hAnsi="Arial" w:cs="Arial"/>
          <w:sz w:val="22"/>
          <w:szCs w:val="22"/>
        </w:rPr>
        <w:t>’s</w:t>
      </w:r>
      <w:r w:rsidRPr="00ED630D">
        <w:rPr>
          <w:rFonts w:ascii="Arial" w:hAnsi="Arial" w:cs="Arial"/>
          <w:sz w:val="22"/>
          <w:szCs w:val="22"/>
        </w:rPr>
        <w:t xml:space="preserve"> </w:t>
      </w:r>
      <w:r w:rsidR="002933D2" w:rsidRPr="00ED630D">
        <w:rPr>
          <w:rFonts w:ascii="Arial" w:hAnsi="Arial" w:cs="Arial"/>
          <w:sz w:val="22"/>
          <w:szCs w:val="22"/>
        </w:rPr>
        <w:t xml:space="preserve">latest </w:t>
      </w:r>
      <w:r w:rsidRPr="00ED630D">
        <w:rPr>
          <w:rFonts w:ascii="Arial" w:hAnsi="Arial" w:cs="Arial"/>
          <w:sz w:val="22"/>
          <w:szCs w:val="22"/>
        </w:rPr>
        <w:t>Housing Strategy</w:t>
      </w:r>
      <w:r w:rsidR="002933D2" w:rsidRPr="00ED630D">
        <w:rPr>
          <w:rFonts w:ascii="Arial" w:hAnsi="Arial" w:cs="Arial"/>
          <w:sz w:val="22"/>
          <w:szCs w:val="22"/>
        </w:rPr>
        <w:t xml:space="preserve"> </w:t>
      </w:r>
      <w:r w:rsidR="002572B0" w:rsidRPr="00D4002B">
        <w:rPr>
          <w:rFonts w:ascii="Arial" w:hAnsi="Arial" w:cs="Arial"/>
          <w:sz w:val="22"/>
          <w:szCs w:val="22"/>
        </w:rPr>
        <w:t>is the 2015-2025 Housing Strategy (</w:t>
      </w:r>
      <w:r w:rsidR="0073095F">
        <w:rPr>
          <w:rFonts w:ascii="Arial" w:hAnsi="Arial" w:cs="Arial"/>
          <w:sz w:val="22"/>
          <w:szCs w:val="22"/>
        </w:rPr>
        <w:t>AA/</w:t>
      </w:r>
      <w:r w:rsidR="002572B0" w:rsidRPr="00D4002B">
        <w:rPr>
          <w:rFonts w:ascii="Arial" w:hAnsi="Arial" w:cs="Arial"/>
          <w:sz w:val="22"/>
          <w:szCs w:val="22"/>
        </w:rPr>
        <w:t xml:space="preserve">PS </w:t>
      </w:r>
      <w:r w:rsidR="0073095F">
        <w:rPr>
          <w:rFonts w:ascii="Arial" w:hAnsi="Arial" w:cs="Arial"/>
          <w:sz w:val="22"/>
          <w:szCs w:val="22"/>
        </w:rPr>
        <w:t>3.2</w:t>
      </w:r>
      <w:r w:rsidR="002572B0" w:rsidRPr="00D4002B">
        <w:rPr>
          <w:rFonts w:ascii="Arial" w:hAnsi="Arial" w:cs="Arial"/>
          <w:sz w:val="22"/>
          <w:szCs w:val="22"/>
        </w:rPr>
        <w:t xml:space="preserve">) </w:t>
      </w:r>
      <w:r w:rsidR="002933D2" w:rsidRPr="00D4002B">
        <w:rPr>
          <w:rFonts w:ascii="Arial" w:hAnsi="Arial" w:cs="Arial"/>
          <w:sz w:val="22"/>
          <w:szCs w:val="22"/>
        </w:rPr>
        <w:t>was approved by</w:t>
      </w:r>
      <w:r w:rsidR="002933D2" w:rsidRPr="00AF136B">
        <w:rPr>
          <w:rFonts w:ascii="Arial" w:hAnsi="Arial" w:cs="Arial"/>
          <w:i/>
          <w:sz w:val="22"/>
          <w:szCs w:val="22"/>
        </w:rPr>
        <w:t xml:space="preserve"> </w:t>
      </w:r>
      <w:r w:rsidR="002933D2" w:rsidRPr="00AF136B">
        <w:rPr>
          <w:rFonts w:ascii="Arial" w:hAnsi="Arial" w:cs="Arial"/>
          <w:sz w:val="22"/>
          <w:szCs w:val="22"/>
        </w:rPr>
        <w:t>t</w:t>
      </w:r>
      <w:r w:rsidRPr="00786491">
        <w:rPr>
          <w:rFonts w:ascii="Arial" w:hAnsi="Arial" w:cs="Arial"/>
          <w:sz w:val="22"/>
          <w:szCs w:val="22"/>
        </w:rPr>
        <w:t>he</w:t>
      </w:r>
      <w:r w:rsidRPr="00ED630D">
        <w:rPr>
          <w:rFonts w:ascii="Arial" w:hAnsi="Arial" w:cs="Arial"/>
          <w:sz w:val="22"/>
          <w:szCs w:val="22"/>
        </w:rPr>
        <w:t xml:space="preserve"> Council</w:t>
      </w:r>
      <w:r w:rsidR="00142492" w:rsidRPr="00ED630D">
        <w:rPr>
          <w:rFonts w:ascii="Arial" w:hAnsi="Arial" w:cs="Arial"/>
          <w:sz w:val="22"/>
          <w:szCs w:val="22"/>
        </w:rPr>
        <w:t xml:space="preserve"> </w:t>
      </w:r>
      <w:r w:rsidR="00A646D3" w:rsidRPr="00ED630D">
        <w:rPr>
          <w:rFonts w:ascii="Arial" w:hAnsi="Arial" w:cs="Arial"/>
          <w:sz w:val="22"/>
          <w:szCs w:val="22"/>
        </w:rPr>
        <w:t>on 20</w:t>
      </w:r>
      <w:r w:rsidR="00124274" w:rsidRPr="00ED630D">
        <w:rPr>
          <w:rFonts w:ascii="Arial" w:hAnsi="Arial" w:cs="Arial"/>
          <w:sz w:val="22"/>
          <w:szCs w:val="22"/>
        </w:rPr>
        <w:t>th</w:t>
      </w:r>
      <w:r w:rsidR="00142492" w:rsidRPr="00ED630D">
        <w:rPr>
          <w:rFonts w:ascii="Arial" w:hAnsi="Arial" w:cs="Arial"/>
          <w:sz w:val="22"/>
          <w:szCs w:val="22"/>
        </w:rPr>
        <w:t xml:space="preserve"> Oc</w:t>
      </w:r>
      <w:r w:rsidRPr="00ED630D">
        <w:rPr>
          <w:rFonts w:ascii="Arial" w:hAnsi="Arial" w:cs="Arial"/>
          <w:sz w:val="22"/>
          <w:szCs w:val="22"/>
        </w:rPr>
        <w:t>tober 20</w:t>
      </w:r>
      <w:r w:rsidR="002933D2" w:rsidRPr="00ED630D">
        <w:rPr>
          <w:rFonts w:ascii="Arial" w:hAnsi="Arial" w:cs="Arial"/>
          <w:sz w:val="22"/>
          <w:szCs w:val="22"/>
        </w:rPr>
        <w:t>15.</w:t>
      </w:r>
      <w:r w:rsidRPr="00ED630D">
        <w:rPr>
          <w:rFonts w:ascii="Arial" w:hAnsi="Arial" w:cs="Arial"/>
          <w:sz w:val="22"/>
          <w:szCs w:val="22"/>
        </w:rPr>
        <w:t xml:space="preserve"> </w:t>
      </w:r>
      <w:r w:rsidR="001C0C4E" w:rsidRPr="00ED630D">
        <w:rPr>
          <w:rFonts w:ascii="Arial" w:hAnsi="Arial" w:cs="Arial"/>
          <w:sz w:val="22"/>
          <w:szCs w:val="22"/>
        </w:rPr>
        <w:t xml:space="preserve">The </w:t>
      </w:r>
      <w:r w:rsidR="001B668A" w:rsidRPr="00ED630D">
        <w:rPr>
          <w:rFonts w:ascii="Arial" w:hAnsi="Arial" w:cs="Arial"/>
          <w:sz w:val="22"/>
          <w:szCs w:val="22"/>
        </w:rPr>
        <w:t>C</w:t>
      </w:r>
      <w:r w:rsidR="001C0C4E" w:rsidRPr="00ED630D">
        <w:rPr>
          <w:rFonts w:ascii="Arial" w:hAnsi="Arial" w:cs="Arial"/>
          <w:sz w:val="22"/>
          <w:szCs w:val="22"/>
        </w:rPr>
        <w:t xml:space="preserve">ouncil’s </w:t>
      </w:r>
      <w:r w:rsidR="007B1AFC" w:rsidRPr="00ED630D">
        <w:rPr>
          <w:rFonts w:ascii="Arial" w:hAnsi="Arial" w:cs="Arial"/>
          <w:sz w:val="22"/>
          <w:szCs w:val="22"/>
        </w:rPr>
        <w:t>h</w:t>
      </w:r>
      <w:r w:rsidR="00A51171" w:rsidRPr="00ED630D">
        <w:rPr>
          <w:rFonts w:ascii="Arial" w:hAnsi="Arial" w:cs="Arial"/>
          <w:sz w:val="22"/>
          <w:szCs w:val="22"/>
        </w:rPr>
        <w:t>ousing strategy</w:t>
      </w:r>
      <w:r w:rsidR="007B1AFC" w:rsidRPr="00ED630D">
        <w:rPr>
          <w:rFonts w:ascii="Arial" w:hAnsi="Arial" w:cs="Arial"/>
          <w:sz w:val="22"/>
          <w:szCs w:val="22"/>
        </w:rPr>
        <w:t xml:space="preserve"> 2015-</w:t>
      </w:r>
      <w:r w:rsidR="00A646D3" w:rsidRPr="00ED630D">
        <w:rPr>
          <w:rFonts w:ascii="Arial" w:hAnsi="Arial" w:cs="Arial"/>
          <w:sz w:val="22"/>
          <w:szCs w:val="22"/>
        </w:rPr>
        <w:t>2025</w:t>
      </w:r>
      <w:r w:rsidR="00A646D3" w:rsidRPr="00D4002B">
        <w:rPr>
          <w:rFonts w:ascii="Arial" w:hAnsi="Arial" w:cs="Arial"/>
          <w:sz w:val="22"/>
          <w:szCs w:val="22"/>
        </w:rPr>
        <w:t xml:space="preserve"> includes</w:t>
      </w:r>
      <w:r w:rsidRPr="00D4002B">
        <w:rPr>
          <w:rFonts w:ascii="Arial" w:hAnsi="Arial" w:cs="Arial"/>
          <w:sz w:val="22"/>
          <w:szCs w:val="22"/>
        </w:rPr>
        <w:t xml:space="preserve"> </w:t>
      </w:r>
      <w:r w:rsidR="001C0C4E" w:rsidRPr="00AF136B">
        <w:rPr>
          <w:rFonts w:ascii="Arial" w:hAnsi="Arial" w:cs="Arial"/>
          <w:sz w:val="22"/>
          <w:szCs w:val="22"/>
        </w:rPr>
        <w:t>the following core objectives:</w:t>
      </w:r>
    </w:p>
    <w:p w14:paraId="0AEB6C7B" w14:textId="77777777" w:rsidR="001C0C4E" w:rsidRPr="009D63C8" w:rsidRDefault="001C0C4E" w:rsidP="005374BF">
      <w:pPr>
        <w:pStyle w:val="Level2"/>
        <w:numPr>
          <w:ilvl w:val="2"/>
          <w:numId w:val="31"/>
        </w:numPr>
        <w:spacing w:after="0"/>
        <w:rPr>
          <w:rFonts w:ascii="Arial" w:hAnsi="Arial" w:cs="Arial"/>
          <w:sz w:val="22"/>
          <w:szCs w:val="22"/>
        </w:rPr>
      </w:pPr>
      <w:r w:rsidRPr="009D63C8">
        <w:rPr>
          <w:rFonts w:ascii="Arial" w:hAnsi="Arial" w:cs="Arial"/>
          <w:sz w:val="22"/>
          <w:szCs w:val="22"/>
        </w:rPr>
        <w:t xml:space="preserve">Increasing Housing Supply </w:t>
      </w:r>
      <w:r w:rsidR="00A51171" w:rsidRPr="009D63C8">
        <w:rPr>
          <w:rFonts w:ascii="Arial" w:hAnsi="Arial" w:cs="Arial"/>
          <w:sz w:val="22"/>
          <w:szCs w:val="22"/>
        </w:rPr>
        <w:t>(</w:t>
      </w:r>
      <w:r w:rsidR="00823EB3" w:rsidRPr="009D63C8">
        <w:rPr>
          <w:rFonts w:ascii="Arial" w:hAnsi="Arial" w:cs="Arial"/>
          <w:sz w:val="22"/>
          <w:szCs w:val="22"/>
        </w:rPr>
        <w:t xml:space="preserve">Page </w:t>
      </w:r>
      <w:r w:rsidR="00E874F1" w:rsidRPr="009D63C8">
        <w:rPr>
          <w:rFonts w:ascii="Arial" w:hAnsi="Arial" w:cs="Arial"/>
          <w:sz w:val="22"/>
          <w:szCs w:val="22"/>
        </w:rPr>
        <w:t>11</w:t>
      </w:r>
      <w:r w:rsidR="00A51171" w:rsidRPr="009D63C8">
        <w:rPr>
          <w:rFonts w:ascii="Arial" w:hAnsi="Arial" w:cs="Arial"/>
          <w:sz w:val="22"/>
          <w:szCs w:val="22"/>
        </w:rPr>
        <w:t>)</w:t>
      </w:r>
    </w:p>
    <w:p w14:paraId="04AD66B5" w14:textId="77777777" w:rsidR="001C0C4E" w:rsidRPr="009D63C8" w:rsidRDefault="001C0C4E" w:rsidP="005374BF">
      <w:pPr>
        <w:pStyle w:val="Level2"/>
        <w:numPr>
          <w:ilvl w:val="2"/>
          <w:numId w:val="31"/>
        </w:numPr>
        <w:spacing w:after="0"/>
        <w:rPr>
          <w:rFonts w:ascii="Arial" w:hAnsi="Arial" w:cs="Arial"/>
          <w:sz w:val="22"/>
          <w:szCs w:val="22"/>
        </w:rPr>
      </w:pPr>
      <w:r w:rsidRPr="009D63C8">
        <w:rPr>
          <w:rFonts w:ascii="Arial" w:hAnsi="Arial" w:cs="Arial"/>
          <w:sz w:val="22"/>
          <w:szCs w:val="22"/>
        </w:rPr>
        <w:t>Delivery of Homes that people can afford</w:t>
      </w:r>
      <w:r w:rsidR="00823EB3" w:rsidRPr="009D63C8">
        <w:rPr>
          <w:rFonts w:ascii="Arial" w:hAnsi="Arial" w:cs="Arial"/>
          <w:sz w:val="22"/>
          <w:szCs w:val="22"/>
        </w:rPr>
        <w:t xml:space="preserve"> </w:t>
      </w:r>
      <w:r w:rsidR="00A51171" w:rsidRPr="009D63C8">
        <w:rPr>
          <w:rFonts w:ascii="Arial" w:hAnsi="Arial" w:cs="Arial"/>
          <w:sz w:val="22"/>
          <w:szCs w:val="22"/>
        </w:rPr>
        <w:t>(</w:t>
      </w:r>
      <w:r w:rsidR="00823EB3" w:rsidRPr="009D63C8">
        <w:rPr>
          <w:rFonts w:ascii="Arial" w:hAnsi="Arial" w:cs="Arial"/>
          <w:sz w:val="22"/>
          <w:szCs w:val="22"/>
        </w:rPr>
        <w:t xml:space="preserve">Page </w:t>
      </w:r>
      <w:r w:rsidR="00E874F1" w:rsidRPr="009D63C8">
        <w:rPr>
          <w:rFonts w:ascii="Arial" w:hAnsi="Arial" w:cs="Arial"/>
          <w:sz w:val="22"/>
          <w:szCs w:val="22"/>
        </w:rPr>
        <w:t>19</w:t>
      </w:r>
      <w:r w:rsidR="00A51171" w:rsidRPr="009D63C8">
        <w:rPr>
          <w:rFonts w:ascii="Arial" w:hAnsi="Arial" w:cs="Arial"/>
          <w:sz w:val="22"/>
          <w:szCs w:val="22"/>
        </w:rPr>
        <w:t>)</w:t>
      </w:r>
    </w:p>
    <w:p w14:paraId="0B49CDD4" w14:textId="77777777" w:rsidR="001C0C4E" w:rsidRPr="009D63C8" w:rsidRDefault="001C0C4E" w:rsidP="005374BF">
      <w:pPr>
        <w:pStyle w:val="Level2"/>
        <w:numPr>
          <w:ilvl w:val="2"/>
          <w:numId w:val="31"/>
        </w:numPr>
        <w:spacing w:after="0"/>
        <w:rPr>
          <w:rFonts w:ascii="Arial" w:hAnsi="Arial" w:cs="Arial"/>
          <w:sz w:val="22"/>
          <w:szCs w:val="22"/>
        </w:rPr>
      </w:pPr>
      <w:r w:rsidRPr="009D63C8">
        <w:rPr>
          <w:rFonts w:ascii="Arial" w:hAnsi="Arial" w:cs="Arial"/>
          <w:sz w:val="22"/>
          <w:szCs w:val="22"/>
        </w:rPr>
        <w:t>Sustaining quality in the Private Rented Sector</w:t>
      </w:r>
      <w:r w:rsidR="00823EB3" w:rsidRPr="009D63C8">
        <w:rPr>
          <w:rFonts w:ascii="Arial" w:hAnsi="Arial" w:cs="Arial"/>
          <w:sz w:val="22"/>
          <w:szCs w:val="22"/>
        </w:rPr>
        <w:t xml:space="preserve"> </w:t>
      </w:r>
      <w:r w:rsidR="00A51171" w:rsidRPr="009D63C8">
        <w:rPr>
          <w:rFonts w:ascii="Arial" w:hAnsi="Arial" w:cs="Arial"/>
          <w:sz w:val="22"/>
          <w:szCs w:val="22"/>
        </w:rPr>
        <w:t>(</w:t>
      </w:r>
      <w:r w:rsidR="00823EB3" w:rsidRPr="009D63C8">
        <w:rPr>
          <w:rFonts w:ascii="Arial" w:hAnsi="Arial" w:cs="Arial"/>
          <w:sz w:val="22"/>
          <w:szCs w:val="22"/>
        </w:rPr>
        <w:t xml:space="preserve">Page </w:t>
      </w:r>
      <w:r w:rsidR="00FB4831" w:rsidRPr="009D63C8">
        <w:rPr>
          <w:rFonts w:ascii="Arial" w:hAnsi="Arial" w:cs="Arial"/>
          <w:sz w:val="22"/>
          <w:szCs w:val="22"/>
        </w:rPr>
        <w:t>23</w:t>
      </w:r>
      <w:r w:rsidR="00A51171" w:rsidRPr="009D63C8">
        <w:rPr>
          <w:rFonts w:ascii="Arial" w:hAnsi="Arial" w:cs="Arial"/>
          <w:sz w:val="22"/>
          <w:szCs w:val="22"/>
        </w:rPr>
        <w:t>)</w:t>
      </w:r>
    </w:p>
    <w:p w14:paraId="2969E79A" w14:textId="77777777" w:rsidR="001C0C4E" w:rsidRPr="009D63C8" w:rsidRDefault="001C0C4E" w:rsidP="005374BF">
      <w:pPr>
        <w:pStyle w:val="Level2"/>
        <w:numPr>
          <w:ilvl w:val="2"/>
          <w:numId w:val="31"/>
        </w:numPr>
        <w:spacing w:after="0"/>
        <w:rPr>
          <w:rFonts w:ascii="Arial" w:hAnsi="Arial" w:cs="Arial"/>
          <w:sz w:val="22"/>
          <w:szCs w:val="22"/>
        </w:rPr>
      </w:pPr>
      <w:r w:rsidRPr="009D63C8">
        <w:rPr>
          <w:rFonts w:ascii="Arial" w:hAnsi="Arial" w:cs="Arial"/>
          <w:sz w:val="22"/>
          <w:szCs w:val="22"/>
        </w:rPr>
        <w:t>Tackling Homelessness</w:t>
      </w:r>
      <w:r w:rsidR="00823EB3" w:rsidRPr="009D63C8">
        <w:rPr>
          <w:rFonts w:ascii="Arial" w:hAnsi="Arial" w:cs="Arial"/>
          <w:sz w:val="22"/>
          <w:szCs w:val="22"/>
        </w:rPr>
        <w:t xml:space="preserve"> </w:t>
      </w:r>
      <w:r w:rsidR="00A51171" w:rsidRPr="009D63C8">
        <w:rPr>
          <w:rFonts w:ascii="Arial" w:hAnsi="Arial" w:cs="Arial"/>
          <w:sz w:val="22"/>
          <w:szCs w:val="22"/>
        </w:rPr>
        <w:t>(</w:t>
      </w:r>
      <w:r w:rsidR="00823EB3" w:rsidRPr="009D63C8">
        <w:rPr>
          <w:rFonts w:ascii="Arial" w:hAnsi="Arial" w:cs="Arial"/>
          <w:sz w:val="22"/>
          <w:szCs w:val="22"/>
        </w:rPr>
        <w:t xml:space="preserve">Page </w:t>
      </w:r>
      <w:r w:rsidR="00E874F1" w:rsidRPr="009D63C8">
        <w:rPr>
          <w:rFonts w:ascii="Arial" w:hAnsi="Arial" w:cs="Arial"/>
          <w:sz w:val="22"/>
          <w:szCs w:val="22"/>
        </w:rPr>
        <w:t>26</w:t>
      </w:r>
      <w:r w:rsidR="00A51171" w:rsidRPr="009D63C8">
        <w:rPr>
          <w:rFonts w:ascii="Arial" w:hAnsi="Arial" w:cs="Arial"/>
          <w:sz w:val="22"/>
          <w:szCs w:val="22"/>
        </w:rPr>
        <w:t>)</w:t>
      </w:r>
    </w:p>
    <w:p w14:paraId="5EE6D184" w14:textId="77777777" w:rsidR="001C0C4E" w:rsidRPr="009D63C8" w:rsidRDefault="001C0C4E" w:rsidP="005374BF">
      <w:pPr>
        <w:pStyle w:val="Level2"/>
        <w:numPr>
          <w:ilvl w:val="2"/>
          <w:numId w:val="31"/>
        </w:numPr>
        <w:spacing w:after="0"/>
        <w:rPr>
          <w:rFonts w:ascii="Arial" w:hAnsi="Arial" w:cs="Arial"/>
          <w:sz w:val="22"/>
          <w:szCs w:val="22"/>
        </w:rPr>
      </w:pPr>
      <w:r w:rsidRPr="009D63C8">
        <w:rPr>
          <w:rFonts w:ascii="Arial" w:hAnsi="Arial" w:cs="Arial"/>
          <w:sz w:val="22"/>
          <w:szCs w:val="22"/>
        </w:rPr>
        <w:t>Providing suitable housing to support vulnerable people</w:t>
      </w:r>
      <w:r w:rsidR="00823EB3" w:rsidRPr="009D63C8">
        <w:rPr>
          <w:rFonts w:ascii="Arial" w:hAnsi="Arial" w:cs="Arial"/>
          <w:sz w:val="22"/>
          <w:szCs w:val="22"/>
        </w:rPr>
        <w:t xml:space="preserve"> </w:t>
      </w:r>
      <w:r w:rsidR="00A51171" w:rsidRPr="009D63C8">
        <w:rPr>
          <w:rFonts w:ascii="Arial" w:hAnsi="Arial" w:cs="Arial"/>
          <w:sz w:val="22"/>
          <w:szCs w:val="22"/>
        </w:rPr>
        <w:t>(</w:t>
      </w:r>
      <w:r w:rsidR="00823EB3" w:rsidRPr="009D63C8">
        <w:rPr>
          <w:rFonts w:ascii="Arial" w:hAnsi="Arial" w:cs="Arial"/>
          <w:sz w:val="22"/>
          <w:szCs w:val="22"/>
        </w:rPr>
        <w:t xml:space="preserve">Page </w:t>
      </w:r>
      <w:r w:rsidR="00E874F1" w:rsidRPr="009D63C8">
        <w:rPr>
          <w:rFonts w:ascii="Arial" w:hAnsi="Arial" w:cs="Arial"/>
          <w:sz w:val="22"/>
          <w:szCs w:val="22"/>
        </w:rPr>
        <w:t>32</w:t>
      </w:r>
      <w:r w:rsidR="00A51171" w:rsidRPr="009D63C8">
        <w:rPr>
          <w:rFonts w:ascii="Arial" w:hAnsi="Arial" w:cs="Arial"/>
          <w:sz w:val="22"/>
          <w:szCs w:val="22"/>
        </w:rPr>
        <w:t>)</w:t>
      </w:r>
    </w:p>
    <w:p w14:paraId="5800953C" w14:textId="77777777" w:rsidR="001C0C4E" w:rsidRPr="009D63C8" w:rsidRDefault="001C0C4E" w:rsidP="005374BF">
      <w:pPr>
        <w:pStyle w:val="Level2"/>
        <w:numPr>
          <w:ilvl w:val="2"/>
          <w:numId w:val="31"/>
        </w:numPr>
        <w:spacing w:after="0"/>
        <w:rPr>
          <w:rFonts w:ascii="Arial" w:hAnsi="Arial" w:cs="Arial"/>
          <w:sz w:val="22"/>
          <w:szCs w:val="22"/>
        </w:rPr>
      </w:pPr>
      <w:r w:rsidRPr="009D63C8">
        <w:rPr>
          <w:rFonts w:ascii="Arial" w:hAnsi="Arial" w:cs="Arial"/>
          <w:sz w:val="22"/>
          <w:szCs w:val="22"/>
        </w:rPr>
        <w:t>Deliver efficient and effective services to residents</w:t>
      </w:r>
      <w:r w:rsidR="00FB4831" w:rsidRPr="009D63C8">
        <w:rPr>
          <w:rFonts w:ascii="Arial" w:hAnsi="Arial" w:cs="Arial"/>
          <w:sz w:val="22"/>
          <w:szCs w:val="22"/>
        </w:rPr>
        <w:t xml:space="preserve"> </w:t>
      </w:r>
      <w:r w:rsidR="00A51171" w:rsidRPr="009D63C8">
        <w:rPr>
          <w:rFonts w:ascii="Arial" w:hAnsi="Arial" w:cs="Arial"/>
          <w:sz w:val="22"/>
          <w:szCs w:val="22"/>
        </w:rPr>
        <w:t>(</w:t>
      </w:r>
      <w:r w:rsidR="00FB4831" w:rsidRPr="009D63C8">
        <w:rPr>
          <w:rFonts w:ascii="Arial" w:hAnsi="Arial" w:cs="Arial"/>
          <w:sz w:val="22"/>
          <w:szCs w:val="22"/>
        </w:rPr>
        <w:t xml:space="preserve">Page </w:t>
      </w:r>
      <w:r w:rsidR="00E874F1" w:rsidRPr="009D63C8">
        <w:rPr>
          <w:rFonts w:ascii="Arial" w:hAnsi="Arial" w:cs="Arial"/>
          <w:sz w:val="22"/>
          <w:szCs w:val="22"/>
        </w:rPr>
        <w:t>41</w:t>
      </w:r>
      <w:r w:rsidR="00A51171" w:rsidRPr="009D63C8">
        <w:rPr>
          <w:rFonts w:ascii="Arial" w:hAnsi="Arial" w:cs="Arial"/>
          <w:sz w:val="22"/>
          <w:szCs w:val="22"/>
        </w:rPr>
        <w:t>).</w:t>
      </w:r>
    </w:p>
    <w:p w14:paraId="296A084C" w14:textId="77777777" w:rsidR="00142492" w:rsidRPr="009D63C8" w:rsidRDefault="00142492" w:rsidP="00142492">
      <w:pPr>
        <w:pStyle w:val="Level2"/>
        <w:numPr>
          <w:ilvl w:val="0"/>
          <w:numId w:val="0"/>
        </w:numPr>
        <w:spacing w:after="0"/>
        <w:ind w:left="709"/>
        <w:rPr>
          <w:rFonts w:ascii="Arial" w:hAnsi="Arial" w:cs="Arial"/>
          <w:color w:val="000000"/>
          <w:sz w:val="22"/>
          <w:szCs w:val="22"/>
        </w:rPr>
      </w:pPr>
    </w:p>
    <w:p w14:paraId="63CD1BDB" w14:textId="77777777" w:rsidR="00F7504A" w:rsidRPr="009D63C8" w:rsidRDefault="00D463BD" w:rsidP="00142492">
      <w:pPr>
        <w:pStyle w:val="Level2"/>
        <w:numPr>
          <w:ilvl w:val="1"/>
          <w:numId w:val="1"/>
        </w:numPr>
        <w:spacing w:after="0"/>
        <w:ind w:left="709"/>
        <w:rPr>
          <w:rFonts w:ascii="Arial" w:hAnsi="Arial" w:cs="Arial"/>
          <w:color w:val="000000"/>
          <w:sz w:val="22"/>
          <w:szCs w:val="22"/>
        </w:rPr>
      </w:pPr>
      <w:r w:rsidRPr="009D63C8">
        <w:rPr>
          <w:rFonts w:ascii="Arial" w:hAnsi="Arial" w:cs="Arial"/>
          <w:color w:val="000000"/>
          <w:sz w:val="22"/>
          <w:szCs w:val="22"/>
        </w:rPr>
        <w:t>The Housing Strategy</w:t>
      </w:r>
      <w:r w:rsidR="00860A28" w:rsidRPr="009D63C8">
        <w:rPr>
          <w:rFonts w:ascii="Arial" w:hAnsi="Arial" w:cs="Arial"/>
          <w:color w:val="000000"/>
          <w:sz w:val="22"/>
          <w:szCs w:val="22"/>
        </w:rPr>
        <w:t xml:space="preserve"> 2015-2025</w:t>
      </w:r>
      <w:r w:rsidRPr="009D63C8">
        <w:rPr>
          <w:rFonts w:ascii="Arial" w:hAnsi="Arial" w:cs="Arial"/>
          <w:color w:val="000000"/>
          <w:sz w:val="22"/>
          <w:szCs w:val="22"/>
        </w:rPr>
        <w:t xml:space="preserve"> </w:t>
      </w:r>
      <w:r w:rsidR="00FB4831" w:rsidRPr="009D63C8">
        <w:rPr>
          <w:rFonts w:ascii="Arial" w:hAnsi="Arial" w:cs="Arial"/>
          <w:color w:val="000000"/>
          <w:sz w:val="22"/>
          <w:szCs w:val="22"/>
        </w:rPr>
        <w:t xml:space="preserve">also </w:t>
      </w:r>
      <w:r w:rsidRPr="009D63C8">
        <w:rPr>
          <w:rFonts w:ascii="Arial" w:hAnsi="Arial" w:cs="Arial"/>
          <w:color w:val="000000"/>
          <w:sz w:val="22"/>
          <w:szCs w:val="22"/>
        </w:rPr>
        <w:t xml:space="preserve">recognises that the process of regeneration can be disruptive for residents and sets out the </w:t>
      </w:r>
      <w:r w:rsidR="001B668A" w:rsidRPr="009D63C8">
        <w:rPr>
          <w:rFonts w:ascii="Arial" w:hAnsi="Arial" w:cs="Arial"/>
          <w:color w:val="000000"/>
          <w:sz w:val="22"/>
          <w:szCs w:val="22"/>
        </w:rPr>
        <w:t>C</w:t>
      </w:r>
      <w:r w:rsidRPr="009D63C8">
        <w:rPr>
          <w:rFonts w:ascii="Arial" w:hAnsi="Arial" w:cs="Arial"/>
          <w:color w:val="000000"/>
          <w:sz w:val="22"/>
          <w:szCs w:val="22"/>
        </w:rPr>
        <w:t>ouncil’s intention to minimise this:</w:t>
      </w:r>
    </w:p>
    <w:p w14:paraId="4EB28F01" w14:textId="59054D7A" w:rsidR="00F7504A" w:rsidRPr="009D63C8" w:rsidRDefault="00FB4831" w:rsidP="005374BF">
      <w:pPr>
        <w:pStyle w:val="Level2"/>
        <w:numPr>
          <w:ilvl w:val="0"/>
          <w:numId w:val="0"/>
        </w:numPr>
        <w:ind w:left="993"/>
        <w:rPr>
          <w:rFonts w:ascii="Arial" w:hAnsi="Arial" w:cs="Arial"/>
          <w:sz w:val="22"/>
          <w:szCs w:val="22"/>
        </w:rPr>
      </w:pPr>
      <w:r w:rsidRPr="009D63C8">
        <w:rPr>
          <w:rFonts w:ascii="Arial" w:hAnsi="Arial" w:cs="Arial"/>
          <w:sz w:val="22"/>
          <w:szCs w:val="22"/>
        </w:rPr>
        <w:lastRenderedPageBreak/>
        <w:t>“</w:t>
      </w:r>
      <w:r w:rsidR="00F7504A" w:rsidRPr="009D63C8">
        <w:rPr>
          <w:rFonts w:ascii="Arial" w:hAnsi="Arial" w:cs="Arial"/>
          <w:i/>
          <w:sz w:val="22"/>
          <w:szCs w:val="22"/>
        </w:rPr>
        <w:t>We recognise that regeneration can be a disruptive process for residents, particularly those that are living in non-secure accommodation, and will seek to minimise this disruption at the point that tenants are required to move by making use of flexibilities within our allocations scheme and providing advice and support.</w:t>
      </w:r>
      <w:r w:rsidRPr="009D63C8">
        <w:rPr>
          <w:rFonts w:ascii="Arial" w:hAnsi="Arial" w:cs="Arial"/>
          <w:i/>
          <w:sz w:val="22"/>
          <w:szCs w:val="22"/>
        </w:rPr>
        <w:t>”</w:t>
      </w:r>
      <w:r w:rsidRPr="009D63C8">
        <w:rPr>
          <w:rFonts w:ascii="Arial" w:hAnsi="Arial" w:cs="Arial"/>
          <w:sz w:val="22"/>
          <w:szCs w:val="22"/>
        </w:rPr>
        <w:t xml:space="preserve"> </w:t>
      </w:r>
      <w:r w:rsidR="00A51171" w:rsidRPr="009D63C8">
        <w:rPr>
          <w:rFonts w:ascii="Arial" w:hAnsi="Arial" w:cs="Arial"/>
          <w:sz w:val="22"/>
          <w:szCs w:val="22"/>
        </w:rPr>
        <w:t>(</w:t>
      </w:r>
      <w:r w:rsidRPr="009D63C8">
        <w:rPr>
          <w:rFonts w:ascii="Arial" w:eastAsia="Calibri" w:hAnsi="Arial" w:cs="Arial"/>
          <w:sz w:val="22"/>
          <w:szCs w:val="22"/>
        </w:rPr>
        <w:t>Paragraph 6, Page 1</w:t>
      </w:r>
      <w:r w:rsidR="00CD1CAA" w:rsidRPr="009D63C8">
        <w:rPr>
          <w:rFonts w:ascii="Arial" w:eastAsia="Calibri" w:hAnsi="Arial" w:cs="Arial"/>
          <w:sz w:val="22"/>
          <w:szCs w:val="22"/>
        </w:rPr>
        <w:t>3</w:t>
      </w:r>
      <w:r w:rsidR="00EC5EEA" w:rsidRPr="009D63C8">
        <w:rPr>
          <w:rFonts w:ascii="Arial" w:eastAsia="Calibri" w:hAnsi="Arial" w:cs="Arial"/>
          <w:sz w:val="22"/>
          <w:szCs w:val="22"/>
        </w:rPr>
        <w:t xml:space="preserve"> </w:t>
      </w:r>
      <w:r w:rsidR="001C071C">
        <w:rPr>
          <w:rFonts w:ascii="Arial" w:eastAsia="Calibri" w:hAnsi="Arial" w:cs="Arial"/>
          <w:sz w:val="22"/>
          <w:szCs w:val="22"/>
        </w:rPr>
        <w:t>AA/</w:t>
      </w:r>
      <w:r w:rsidR="002572B0">
        <w:rPr>
          <w:rFonts w:ascii="Arial" w:hAnsi="Arial" w:cs="Arial"/>
          <w:sz w:val="22"/>
          <w:szCs w:val="22"/>
        </w:rPr>
        <w:t xml:space="preserve">PS </w:t>
      </w:r>
      <w:r w:rsidR="001C071C">
        <w:rPr>
          <w:rFonts w:ascii="Arial" w:hAnsi="Arial" w:cs="Arial"/>
          <w:sz w:val="22"/>
          <w:szCs w:val="22"/>
        </w:rPr>
        <w:t>3.</w:t>
      </w:r>
      <w:r w:rsidR="00124274">
        <w:rPr>
          <w:rFonts w:ascii="Arial" w:hAnsi="Arial" w:cs="Arial"/>
          <w:sz w:val="22"/>
          <w:szCs w:val="22"/>
        </w:rPr>
        <w:t>2</w:t>
      </w:r>
      <w:r w:rsidR="00A51171" w:rsidRPr="009D63C8">
        <w:rPr>
          <w:rFonts w:ascii="Arial" w:hAnsi="Arial" w:cs="Arial"/>
          <w:sz w:val="22"/>
          <w:szCs w:val="22"/>
        </w:rPr>
        <w:t>)</w:t>
      </w:r>
    </w:p>
    <w:p w14:paraId="3324E92A" w14:textId="77777777" w:rsidR="00C35242" w:rsidRDefault="00B956D9" w:rsidP="00142492">
      <w:pPr>
        <w:pStyle w:val="Level2"/>
        <w:numPr>
          <w:ilvl w:val="1"/>
          <w:numId w:val="1"/>
        </w:numPr>
        <w:ind w:left="709"/>
        <w:rPr>
          <w:rFonts w:ascii="Arial" w:hAnsi="Arial" w:cs="Arial"/>
          <w:sz w:val="22"/>
          <w:szCs w:val="22"/>
        </w:rPr>
      </w:pPr>
      <w:r>
        <w:rPr>
          <w:rFonts w:ascii="Arial" w:hAnsi="Arial" w:cs="Arial"/>
          <w:sz w:val="22"/>
          <w:szCs w:val="22"/>
        </w:rPr>
        <w:t xml:space="preserve">Granville Road is </w:t>
      </w:r>
      <w:r w:rsidR="00C35242">
        <w:rPr>
          <w:rFonts w:ascii="Arial" w:hAnsi="Arial" w:cs="Arial"/>
          <w:sz w:val="22"/>
          <w:szCs w:val="22"/>
        </w:rPr>
        <w:t xml:space="preserve">specifically identified in two places in the Housing Strategy 2015-2025. At the top of page 18, there is a target to deliver 26,000 new homes across the Borough, including 130 at Granville Road. On page 44, paragraph 5, it is confirmed that the Housing Revenue Account capital programme includes investment to improve Granville Road.  </w:t>
      </w:r>
    </w:p>
    <w:p w14:paraId="2A11B4E5" w14:textId="0388CC5B" w:rsidR="002572B0" w:rsidRDefault="00FB45A4" w:rsidP="00142492">
      <w:pPr>
        <w:pStyle w:val="Level2"/>
        <w:numPr>
          <w:ilvl w:val="1"/>
          <w:numId w:val="1"/>
        </w:numPr>
        <w:ind w:left="709"/>
        <w:rPr>
          <w:rFonts w:ascii="Arial" w:hAnsi="Arial" w:cs="Arial"/>
          <w:sz w:val="22"/>
          <w:szCs w:val="22"/>
        </w:rPr>
      </w:pPr>
      <w:r w:rsidRPr="009D63C8">
        <w:rPr>
          <w:rFonts w:ascii="Arial" w:hAnsi="Arial" w:cs="Arial"/>
          <w:sz w:val="22"/>
          <w:szCs w:val="22"/>
        </w:rPr>
        <w:t>The Housing Strategy 2015-2025 sets out the case for increasing housing supply based on a growing population</w:t>
      </w:r>
      <w:r w:rsidR="00F70953" w:rsidRPr="009D63C8">
        <w:rPr>
          <w:rFonts w:ascii="Arial" w:hAnsi="Arial" w:cs="Arial"/>
          <w:sz w:val="22"/>
          <w:szCs w:val="22"/>
        </w:rPr>
        <w:t xml:space="preserve"> in the Borough</w:t>
      </w:r>
      <w:r w:rsidRPr="009D63C8">
        <w:rPr>
          <w:rFonts w:ascii="Arial" w:hAnsi="Arial" w:cs="Arial"/>
          <w:sz w:val="22"/>
          <w:szCs w:val="22"/>
        </w:rPr>
        <w:t xml:space="preserve">, which is expected to increase by 76,000 people by 2039, and a need for 27,500 new homes identified in a Housing Needs assessment commissioned by the Council in 2014. </w:t>
      </w:r>
      <w:r w:rsidR="008C0507" w:rsidRPr="009D63C8">
        <w:rPr>
          <w:rFonts w:ascii="Arial" w:hAnsi="Arial" w:cs="Arial"/>
          <w:sz w:val="22"/>
          <w:szCs w:val="22"/>
        </w:rPr>
        <w:t xml:space="preserve">Granville Road proposals </w:t>
      </w:r>
      <w:r w:rsidRPr="009D63C8">
        <w:rPr>
          <w:rFonts w:ascii="Arial" w:hAnsi="Arial" w:cs="Arial"/>
          <w:sz w:val="22"/>
          <w:szCs w:val="22"/>
        </w:rPr>
        <w:t xml:space="preserve">will </w:t>
      </w:r>
      <w:r w:rsidR="00142492" w:rsidRPr="009D63C8">
        <w:rPr>
          <w:rFonts w:ascii="Arial" w:hAnsi="Arial" w:cs="Arial"/>
          <w:sz w:val="22"/>
          <w:szCs w:val="22"/>
        </w:rPr>
        <w:t>contribute</w:t>
      </w:r>
      <w:r w:rsidRPr="009D63C8">
        <w:rPr>
          <w:rFonts w:ascii="Arial" w:hAnsi="Arial" w:cs="Arial"/>
          <w:sz w:val="22"/>
          <w:szCs w:val="22"/>
        </w:rPr>
        <w:t xml:space="preserve"> to the objectives of Increasing Housing Supply and Delivery of Homes that people can afford by providing </w:t>
      </w:r>
      <w:r w:rsidR="009D63C8" w:rsidRPr="009D63C8">
        <w:rPr>
          <w:rFonts w:ascii="Arial" w:hAnsi="Arial" w:cs="Arial"/>
          <w:sz w:val="22"/>
          <w:szCs w:val="22"/>
        </w:rPr>
        <w:t>132</w:t>
      </w:r>
      <w:r w:rsidRPr="009D63C8">
        <w:rPr>
          <w:rFonts w:ascii="Arial" w:hAnsi="Arial" w:cs="Arial"/>
          <w:sz w:val="22"/>
          <w:szCs w:val="22"/>
        </w:rPr>
        <w:t xml:space="preserve"> new homes, of </w:t>
      </w:r>
      <w:r w:rsidR="009D63C8" w:rsidRPr="009D63C8">
        <w:rPr>
          <w:rFonts w:ascii="Arial" w:hAnsi="Arial" w:cs="Arial"/>
          <w:sz w:val="22"/>
          <w:szCs w:val="22"/>
        </w:rPr>
        <w:t>which 35</w:t>
      </w:r>
      <w:r w:rsidRPr="009D63C8">
        <w:rPr>
          <w:rFonts w:ascii="Arial" w:hAnsi="Arial" w:cs="Arial"/>
          <w:sz w:val="22"/>
          <w:szCs w:val="22"/>
        </w:rPr>
        <w:t>% will be affordable</w:t>
      </w:r>
      <w:r w:rsidR="002572B0">
        <w:rPr>
          <w:rFonts w:ascii="Arial" w:hAnsi="Arial" w:cs="Arial"/>
          <w:sz w:val="22"/>
          <w:szCs w:val="22"/>
        </w:rPr>
        <w:t>.</w:t>
      </w:r>
    </w:p>
    <w:p w14:paraId="321477DB" w14:textId="0D1F1808" w:rsidR="00971879" w:rsidRDefault="00971879" w:rsidP="00142492">
      <w:pPr>
        <w:pStyle w:val="Level2"/>
        <w:numPr>
          <w:ilvl w:val="1"/>
          <w:numId w:val="1"/>
        </w:numPr>
        <w:ind w:left="709"/>
        <w:rPr>
          <w:rFonts w:ascii="Arial" w:hAnsi="Arial" w:cs="Arial"/>
          <w:sz w:val="22"/>
          <w:szCs w:val="22"/>
        </w:rPr>
      </w:pPr>
      <w:r>
        <w:rPr>
          <w:rFonts w:ascii="Arial" w:hAnsi="Arial" w:cs="Arial"/>
          <w:sz w:val="22"/>
          <w:szCs w:val="22"/>
        </w:rPr>
        <w:t xml:space="preserve">The Phase 2 Scheme makes optimal use of the land available to deliver 132 </w:t>
      </w:r>
      <w:r w:rsidR="00E51859">
        <w:rPr>
          <w:rFonts w:ascii="Arial" w:hAnsi="Arial" w:cs="Arial"/>
          <w:sz w:val="22"/>
          <w:szCs w:val="22"/>
        </w:rPr>
        <w:t xml:space="preserve">new </w:t>
      </w:r>
      <w:r>
        <w:rPr>
          <w:rFonts w:ascii="Arial" w:hAnsi="Arial" w:cs="Arial"/>
          <w:sz w:val="22"/>
          <w:szCs w:val="22"/>
        </w:rPr>
        <w:t>homes, including new fam</w:t>
      </w:r>
      <w:r w:rsidR="00B84B11">
        <w:rPr>
          <w:rFonts w:ascii="Arial" w:hAnsi="Arial" w:cs="Arial"/>
          <w:sz w:val="22"/>
          <w:szCs w:val="22"/>
        </w:rPr>
        <w:t>ily dwellings, to help meet the housing need identified in the Housing Strategy.</w:t>
      </w:r>
    </w:p>
    <w:p w14:paraId="0D3073A1" w14:textId="3C62AC45" w:rsidR="00F37037" w:rsidRPr="009D63C8" w:rsidRDefault="00F37037" w:rsidP="00142492">
      <w:pPr>
        <w:pStyle w:val="ListParagraph"/>
        <w:numPr>
          <w:ilvl w:val="0"/>
          <w:numId w:val="1"/>
        </w:numPr>
        <w:ind w:hanging="720"/>
        <w:jc w:val="left"/>
        <w:rPr>
          <w:rFonts w:cs="Arial"/>
          <w:b/>
          <w:sz w:val="22"/>
          <w:szCs w:val="22"/>
        </w:rPr>
      </w:pPr>
      <w:r w:rsidRPr="009D63C8">
        <w:rPr>
          <w:rFonts w:cs="Arial"/>
          <w:b/>
          <w:sz w:val="22"/>
          <w:szCs w:val="22"/>
        </w:rPr>
        <w:t xml:space="preserve">The </w:t>
      </w:r>
      <w:r w:rsidR="00B84B11">
        <w:rPr>
          <w:rFonts w:cs="Arial"/>
          <w:b/>
          <w:sz w:val="22"/>
          <w:szCs w:val="22"/>
        </w:rPr>
        <w:t>Granville Roa</w:t>
      </w:r>
      <w:r w:rsidR="0086723E" w:rsidRPr="009D63C8">
        <w:rPr>
          <w:rFonts w:cs="Arial"/>
          <w:b/>
          <w:sz w:val="22"/>
          <w:szCs w:val="22"/>
        </w:rPr>
        <w:t>d Estate</w:t>
      </w:r>
    </w:p>
    <w:p w14:paraId="16D0A90E" w14:textId="77777777" w:rsidR="00F37037" w:rsidRPr="009D63C8" w:rsidRDefault="00F37037" w:rsidP="005810E1">
      <w:pPr>
        <w:overflowPunct/>
        <w:ind w:left="-11"/>
        <w:jc w:val="left"/>
        <w:textAlignment w:val="auto"/>
        <w:rPr>
          <w:rFonts w:cs="Arial"/>
          <w:b/>
          <w:sz w:val="22"/>
          <w:szCs w:val="22"/>
        </w:rPr>
      </w:pPr>
    </w:p>
    <w:p w14:paraId="5DF22F16" w14:textId="77777777" w:rsidR="00EA3E03" w:rsidRPr="009D63C8" w:rsidRDefault="006E5510" w:rsidP="005374BF">
      <w:pPr>
        <w:pStyle w:val="ListParagraph"/>
        <w:overflowPunct/>
        <w:ind w:left="709"/>
        <w:jc w:val="left"/>
        <w:textAlignment w:val="auto"/>
        <w:rPr>
          <w:rFonts w:cs="Arial"/>
          <w:b/>
          <w:sz w:val="22"/>
          <w:szCs w:val="22"/>
        </w:rPr>
      </w:pPr>
      <w:r w:rsidRPr="009D63C8">
        <w:rPr>
          <w:rFonts w:cs="Arial"/>
          <w:b/>
          <w:sz w:val="22"/>
          <w:szCs w:val="22"/>
        </w:rPr>
        <w:t>Overview of t</w:t>
      </w:r>
      <w:r w:rsidR="00EA3E03" w:rsidRPr="009D63C8">
        <w:rPr>
          <w:rFonts w:cs="Arial"/>
          <w:b/>
          <w:sz w:val="22"/>
          <w:szCs w:val="22"/>
        </w:rPr>
        <w:t xml:space="preserve">he </w:t>
      </w:r>
      <w:r w:rsidR="00B91B90">
        <w:rPr>
          <w:rFonts w:cs="Arial"/>
          <w:b/>
          <w:sz w:val="22"/>
          <w:szCs w:val="22"/>
        </w:rPr>
        <w:t>Granville Road</w:t>
      </w:r>
      <w:r w:rsidR="00EA3E03" w:rsidRPr="009D63C8">
        <w:rPr>
          <w:rFonts w:cs="Arial"/>
          <w:b/>
          <w:sz w:val="22"/>
          <w:szCs w:val="22"/>
        </w:rPr>
        <w:t xml:space="preserve"> Estate</w:t>
      </w:r>
    </w:p>
    <w:p w14:paraId="2F055741" w14:textId="77777777" w:rsidR="00EA3E03" w:rsidRPr="009D63C8" w:rsidRDefault="00EA3E03" w:rsidP="005810E1">
      <w:pPr>
        <w:pStyle w:val="ListParagraph"/>
        <w:overflowPunct/>
        <w:ind w:left="1082"/>
        <w:jc w:val="left"/>
        <w:textAlignment w:val="auto"/>
        <w:rPr>
          <w:rFonts w:cs="Arial"/>
          <w:sz w:val="22"/>
          <w:szCs w:val="22"/>
        </w:rPr>
      </w:pPr>
    </w:p>
    <w:p w14:paraId="7AF1208B" w14:textId="5181930B" w:rsidR="0086723E" w:rsidRPr="009D63C8" w:rsidRDefault="00DF66A7" w:rsidP="005374BF">
      <w:pPr>
        <w:pStyle w:val="Level2"/>
        <w:numPr>
          <w:ilvl w:val="1"/>
          <w:numId w:val="16"/>
        </w:numPr>
        <w:rPr>
          <w:rFonts w:ascii="Arial" w:hAnsi="Arial" w:cs="Arial"/>
          <w:sz w:val="22"/>
          <w:szCs w:val="22"/>
        </w:rPr>
      </w:pPr>
      <w:r w:rsidRPr="009D63C8">
        <w:rPr>
          <w:rFonts w:ascii="Arial" w:hAnsi="Arial" w:cs="Arial"/>
          <w:sz w:val="22"/>
          <w:szCs w:val="22"/>
        </w:rPr>
        <w:t xml:space="preserve">The Estate </w:t>
      </w:r>
      <w:r w:rsidR="0086723E" w:rsidRPr="009D63C8">
        <w:rPr>
          <w:rFonts w:ascii="Arial" w:hAnsi="Arial" w:cs="Arial"/>
          <w:sz w:val="22"/>
          <w:szCs w:val="22"/>
        </w:rPr>
        <w:t>is a typical 1960s local authority estate compris</w:t>
      </w:r>
      <w:r w:rsidR="00B91B90">
        <w:rPr>
          <w:rFonts w:ascii="Arial" w:hAnsi="Arial" w:cs="Arial"/>
          <w:sz w:val="22"/>
          <w:szCs w:val="22"/>
        </w:rPr>
        <w:t>ing</w:t>
      </w:r>
      <w:r w:rsidR="0086723E" w:rsidRPr="009D63C8">
        <w:rPr>
          <w:rFonts w:ascii="Arial" w:hAnsi="Arial" w:cs="Arial"/>
          <w:sz w:val="22"/>
          <w:szCs w:val="22"/>
        </w:rPr>
        <w:t xml:space="preserve"> 257 dwellings contained in </w:t>
      </w:r>
      <w:r w:rsidR="00091E3F" w:rsidRPr="009D63C8">
        <w:rPr>
          <w:rFonts w:ascii="Arial" w:hAnsi="Arial" w:cs="Arial"/>
          <w:sz w:val="22"/>
          <w:szCs w:val="22"/>
        </w:rPr>
        <w:t>3 fifteen</w:t>
      </w:r>
      <w:r w:rsidR="0086723E" w:rsidRPr="009D63C8">
        <w:rPr>
          <w:rFonts w:ascii="Arial" w:hAnsi="Arial" w:cs="Arial"/>
          <w:sz w:val="22"/>
          <w:szCs w:val="22"/>
        </w:rPr>
        <w:t xml:space="preserve"> storey tower blocks</w:t>
      </w:r>
      <w:r w:rsidR="00091E3F" w:rsidRPr="009D63C8">
        <w:rPr>
          <w:rFonts w:ascii="Arial" w:hAnsi="Arial" w:cs="Arial"/>
          <w:sz w:val="22"/>
          <w:szCs w:val="22"/>
        </w:rPr>
        <w:t xml:space="preserve"> (Granville Point, Harpenmead Point, Templewood Point) and 3 lower </w:t>
      </w:r>
      <w:r w:rsidR="0086723E" w:rsidRPr="009D63C8">
        <w:rPr>
          <w:rFonts w:ascii="Arial" w:hAnsi="Arial" w:cs="Arial"/>
          <w:sz w:val="22"/>
          <w:szCs w:val="22"/>
        </w:rPr>
        <w:t xml:space="preserve">rise blocks of flats </w:t>
      </w:r>
      <w:r w:rsidR="00091E3F" w:rsidRPr="009D63C8">
        <w:rPr>
          <w:rFonts w:ascii="Arial" w:hAnsi="Arial" w:cs="Arial"/>
          <w:sz w:val="22"/>
          <w:szCs w:val="22"/>
        </w:rPr>
        <w:t xml:space="preserve">(Mount Field, Beech Court, Nant Court) </w:t>
      </w:r>
      <w:r w:rsidR="0086723E" w:rsidRPr="009D63C8">
        <w:rPr>
          <w:rFonts w:ascii="Arial" w:hAnsi="Arial" w:cs="Arial"/>
          <w:sz w:val="22"/>
          <w:szCs w:val="22"/>
        </w:rPr>
        <w:t>as summarised in the following table:</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567"/>
        <w:gridCol w:w="709"/>
        <w:gridCol w:w="709"/>
        <w:gridCol w:w="850"/>
        <w:gridCol w:w="709"/>
        <w:gridCol w:w="850"/>
        <w:gridCol w:w="851"/>
        <w:gridCol w:w="850"/>
        <w:gridCol w:w="1134"/>
      </w:tblGrid>
      <w:tr w:rsidR="0086723E" w:rsidRPr="009D63C8" w14:paraId="7A60B3F5" w14:textId="77777777" w:rsidTr="00B33109">
        <w:tc>
          <w:tcPr>
            <w:tcW w:w="1730" w:type="dxa"/>
            <w:shd w:val="clear" w:color="auto" w:fill="auto"/>
          </w:tcPr>
          <w:p w14:paraId="0F7A5CBA" w14:textId="77777777" w:rsidR="0086723E" w:rsidRPr="009D63C8" w:rsidRDefault="0086723E" w:rsidP="0086723E">
            <w:pPr>
              <w:keepNext/>
              <w:keepLines/>
              <w:kinsoku w:val="0"/>
              <w:ind w:right="105"/>
              <w:rPr>
                <w:rFonts w:cs="Arial"/>
                <w:sz w:val="22"/>
                <w:szCs w:val="22"/>
                <w:lang w:eastAsia="en-GB"/>
              </w:rPr>
            </w:pPr>
          </w:p>
        </w:tc>
        <w:tc>
          <w:tcPr>
            <w:tcW w:w="2835" w:type="dxa"/>
            <w:gridSpan w:val="4"/>
            <w:shd w:val="clear" w:color="auto" w:fill="auto"/>
          </w:tcPr>
          <w:p w14:paraId="6443F228"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Leasehold/Private</w:t>
            </w:r>
          </w:p>
        </w:tc>
        <w:tc>
          <w:tcPr>
            <w:tcW w:w="3260" w:type="dxa"/>
            <w:gridSpan w:val="4"/>
            <w:shd w:val="clear" w:color="auto" w:fill="auto"/>
          </w:tcPr>
          <w:p w14:paraId="1DADD747"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Affordable/Rented</w:t>
            </w:r>
          </w:p>
        </w:tc>
        <w:tc>
          <w:tcPr>
            <w:tcW w:w="1134" w:type="dxa"/>
            <w:shd w:val="clear" w:color="auto" w:fill="auto"/>
          </w:tcPr>
          <w:p w14:paraId="3128841A"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TOTAL</w:t>
            </w:r>
          </w:p>
        </w:tc>
      </w:tr>
      <w:tr w:rsidR="0086723E" w:rsidRPr="009D63C8" w14:paraId="4EDD29A5" w14:textId="77777777" w:rsidTr="00B33109">
        <w:tc>
          <w:tcPr>
            <w:tcW w:w="1730" w:type="dxa"/>
            <w:shd w:val="clear" w:color="auto" w:fill="auto"/>
          </w:tcPr>
          <w:p w14:paraId="6AE4A806" w14:textId="77777777" w:rsidR="0086723E" w:rsidRPr="009D63C8" w:rsidRDefault="0086723E" w:rsidP="0086723E">
            <w:pPr>
              <w:keepNext/>
              <w:keepLines/>
              <w:kinsoku w:val="0"/>
              <w:ind w:right="105"/>
              <w:rPr>
                <w:rFonts w:cs="Arial"/>
                <w:sz w:val="22"/>
                <w:szCs w:val="22"/>
                <w:lang w:eastAsia="en-GB"/>
              </w:rPr>
            </w:pPr>
            <w:r w:rsidRPr="009D63C8">
              <w:rPr>
                <w:rFonts w:cs="Arial"/>
                <w:sz w:val="22"/>
                <w:szCs w:val="22"/>
                <w:lang w:eastAsia="en-GB"/>
              </w:rPr>
              <w:t>Beds</w:t>
            </w:r>
          </w:p>
        </w:tc>
        <w:tc>
          <w:tcPr>
            <w:tcW w:w="567" w:type="dxa"/>
            <w:shd w:val="clear" w:color="auto" w:fill="auto"/>
          </w:tcPr>
          <w:p w14:paraId="610EEF48"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w:t>
            </w:r>
          </w:p>
        </w:tc>
        <w:tc>
          <w:tcPr>
            <w:tcW w:w="709" w:type="dxa"/>
            <w:shd w:val="clear" w:color="auto" w:fill="auto"/>
          </w:tcPr>
          <w:p w14:paraId="14FE75CD"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2</w:t>
            </w:r>
          </w:p>
        </w:tc>
        <w:tc>
          <w:tcPr>
            <w:tcW w:w="709" w:type="dxa"/>
            <w:shd w:val="clear" w:color="auto" w:fill="auto"/>
          </w:tcPr>
          <w:p w14:paraId="00F9E862"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3-</w:t>
            </w:r>
          </w:p>
        </w:tc>
        <w:tc>
          <w:tcPr>
            <w:tcW w:w="850" w:type="dxa"/>
            <w:shd w:val="clear" w:color="auto" w:fill="auto"/>
          </w:tcPr>
          <w:p w14:paraId="0E549FD7"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Total</w:t>
            </w:r>
          </w:p>
        </w:tc>
        <w:tc>
          <w:tcPr>
            <w:tcW w:w="709" w:type="dxa"/>
            <w:shd w:val="clear" w:color="auto" w:fill="auto"/>
          </w:tcPr>
          <w:p w14:paraId="5F84C356"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w:t>
            </w:r>
          </w:p>
        </w:tc>
        <w:tc>
          <w:tcPr>
            <w:tcW w:w="850" w:type="dxa"/>
            <w:shd w:val="clear" w:color="auto" w:fill="auto"/>
          </w:tcPr>
          <w:p w14:paraId="0346A37C"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2</w:t>
            </w:r>
          </w:p>
        </w:tc>
        <w:tc>
          <w:tcPr>
            <w:tcW w:w="851" w:type="dxa"/>
            <w:shd w:val="clear" w:color="auto" w:fill="auto"/>
          </w:tcPr>
          <w:p w14:paraId="47FA70C3"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3</w:t>
            </w:r>
          </w:p>
        </w:tc>
        <w:tc>
          <w:tcPr>
            <w:tcW w:w="850" w:type="dxa"/>
            <w:shd w:val="clear" w:color="auto" w:fill="auto"/>
          </w:tcPr>
          <w:p w14:paraId="6DC4C2D4"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Total</w:t>
            </w:r>
          </w:p>
        </w:tc>
        <w:tc>
          <w:tcPr>
            <w:tcW w:w="1134" w:type="dxa"/>
            <w:shd w:val="clear" w:color="auto" w:fill="auto"/>
          </w:tcPr>
          <w:p w14:paraId="307335A1" w14:textId="77777777" w:rsidR="0086723E" w:rsidRPr="009D63C8" w:rsidRDefault="0086723E" w:rsidP="0086723E">
            <w:pPr>
              <w:keepNext/>
              <w:keepLines/>
              <w:kinsoku w:val="0"/>
              <w:ind w:right="105"/>
              <w:rPr>
                <w:rFonts w:cs="Arial"/>
                <w:b/>
                <w:sz w:val="22"/>
                <w:szCs w:val="22"/>
                <w:lang w:eastAsia="en-GB"/>
              </w:rPr>
            </w:pPr>
          </w:p>
        </w:tc>
      </w:tr>
      <w:tr w:rsidR="0086723E" w:rsidRPr="009D63C8" w14:paraId="6F3AF818" w14:textId="77777777" w:rsidTr="00B33109">
        <w:tc>
          <w:tcPr>
            <w:tcW w:w="1730" w:type="dxa"/>
            <w:shd w:val="clear" w:color="auto" w:fill="auto"/>
          </w:tcPr>
          <w:p w14:paraId="159375B6" w14:textId="77777777" w:rsidR="0086723E" w:rsidRPr="009D63C8" w:rsidRDefault="0086723E" w:rsidP="0086723E">
            <w:pPr>
              <w:keepNext/>
              <w:keepLines/>
              <w:kinsoku w:val="0"/>
              <w:spacing w:line="312" w:lineRule="auto"/>
              <w:ind w:right="105"/>
              <w:rPr>
                <w:rFonts w:cs="Arial"/>
                <w:sz w:val="22"/>
                <w:szCs w:val="22"/>
                <w:lang w:eastAsia="en-GB"/>
              </w:rPr>
            </w:pPr>
            <w:proofErr w:type="spellStart"/>
            <w:r w:rsidRPr="009D63C8">
              <w:rPr>
                <w:rFonts w:cs="Arial"/>
                <w:sz w:val="22"/>
                <w:szCs w:val="22"/>
                <w:lang w:eastAsia="en-GB"/>
              </w:rPr>
              <w:t>Mountfield</w:t>
            </w:r>
            <w:proofErr w:type="spellEnd"/>
          </w:p>
        </w:tc>
        <w:tc>
          <w:tcPr>
            <w:tcW w:w="567" w:type="dxa"/>
            <w:shd w:val="clear" w:color="auto" w:fill="auto"/>
          </w:tcPr>
          <w:p w14:paraId="551787A1"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w:t>
            </w:r>
          </w:p>
        </w:tc>
        <w:tc>
          <w:tcPr>
            <w:tcW w:w="709" w:type="dxa"/>
            <w:shd w:val="clear" w:color="auto" w:fill="auto"/>
          </w:tcPr>
          <w:p w14:paraId="02BB1464"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709" w:type="dxa"/>
            <w:shd w:val="clear" w:color="auto" w:fill="auto"/>
          </w:tcPr>
          <w:p w14:paraId="5E09FF31"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4</w:t>
            </w:r>
          </w:p>
        </w:tc>
        <w:tc>
          <w:tcPr>
            <w:tcW w:w="850" w:type="dxa"/>
            <w:shd w:val="clear" w:color="auto" w:fill="auto"/>
          </w:tcPr>
          <w:p w14:paraId="408FE3DA"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5</w:t>
            </w:r>
          </w:p>
        </w:tc>
        <w:tc>
          <w:tcPr>
            <w:tcW w:w="709" w:type="dxa"/>
            <w:shd w:val="clear" w:color="auto" w:fill="auto"/>
          </w:tcPr>
          <w:p w14:paraId="6B2505FF"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4</w:t>
            </w:r>
          </w:p>
        </w:tc>
        <w:tc>
          <w:tcPr>
            <w:tcW w:w="850" w:type="dxa"/>
            <w:shd w:val="clear" w:color="auto" w:fill="auto"/>
          </w:tcPr>
          <w:p w14:paraId="066405BF"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1" w:type="dxa"/>
            <w:shd w:val="clear" w:color="auto" w:fill="auto"/>
          </w:tcPr>
          <w:p w14:paraId="463D1879"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6</w:t>
            </w:r>
          </w:p>
        </w:tc>
        <w:tc>
          <w:tcPr>
            <w:tcW w:w="850" w:type="dxa"/>
            <w:shd w:val="clear" w:color="auto" w:fill="auto"/>
          </w:tcPr>
          <w:p w14:paraId="30E0BA9E"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10</w:t>
            </w:r>
          </w:p>
        </w:tc>
        <w:tc>
          <w:tcPr>
            <w:tcW w:w="1134" w:type="dxa"/>
            <w:shd w:val="clear" w:color="auto" w:fill="auto"/>
          </w:tcPr>
          <w:p w14:paraId="3863FF03"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15</w:t>
            </w:r>
          </w:p>
        </w:tc>
      </w:tr>
      <w:tr w:rsidR="0086723E" w:rsidRPr="009D63C8" w14:paraId="7CABA1F4" w14:textId="77777777" w:rsidTr="00B33109">
        <w:tc>
          <w:tcPr>
            <w:tcW w:w="1730" w:type="dxa"/>
            <w:shd w:val="clear" w:color="auto" w:fill="auto"/>
          </w:tcPr>
          <w:p w14:paraId="444CA109"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Beech Court</w:t>
            </w:r>
          </w:p>
        </w:tc>
        <w:tc>
          <w:tcPr>
            <w:tcW w:w="567" w:type="dxa"/>
            <w:shd w:val="clear" w:color="auto" w:fill="auto"/>
          </w:tcPr>
          <w:p w14:paraId="4ACABAE6"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5</w:t>
            </w:r>
          </w:p>
        </w:tc>
        <w:tc>
          <w:tcPr>
            <w:tcW w:w="709" w:type="dxa"/>
            <w:shd w:val="clear" w:color="auto" w:fill="auto"/>
          </w:tcPr>
          <w:p w14:paraId="5E70E138"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709" w:type="dxa"/>
            <w:shd w:val="clear" w:color="auto" w:fill="auto"/>
          </w:tcPr>
          <w:p w14:paraId="2B7D0F1E"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0" w:type="dxa"/>
            <w:shd w:val="clear" w:color="auto" w:fill="auto"/>
          </w:tcPr>
          <w:p w14:paraId="77B9A958"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5</w:t>
            </w:r>
          </w:p>
        </w:tc>
        <w:tc>
          <w:tcPr>
            <w:tcW w:w="709" w:type="dxa"/>
            <w:shd w:val="clear" w:color="auto" w:fill="auto"/>
          </w:tcPr>
          <w:p w14:paraId="28A27EB2"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16</w:t>
            </w:r>
          </w:p>
        </w:tc>
        <w:tc>
          <w:tcPr>
            <w:tcW w:w="850" w:type="dxa"/>
            <w:shd w:val="clear" w:color="auto" w:fill="auto"/>
          </w:tcPr>
          <w:p w14:paraId="7CE33187"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1" w:type="dxa"/>
            <w:shd w:val="clear" w:color="auto" w:fill="auto"/>
          </w:tcPr>
          <w:p w14:paraId="32EFF118"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0" w:type="dxa"/>
            <w:shd w:val="clear" w:color="auto" w:fill="auto"/>
          </w:tcPr>
          <w:p w14:paraId="3A00F2AC"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16</w:t>
            </w:r>
          </w:p>
        </w:tc>
        <w:tc>
          <w:tcPr>
            <w:tcW w:w="1134" w:type="dxa"/>
            <w:shd w:val="clear" w:color="auto" w:fill="auto"/>
          </w:tcPr>
          <w:p w14:paraId="516A78DD"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21</w:t>
            </w:r>
          </w:p>
        </w:tc>
      </w:tr>
      <w:tr w:rsidR="0086723E" w:rsidRPr="009D63C8" w14:paraId="417A8B60" w14:textId="77777777" w:rsidTr="00B33109">
        <w:tc>
          <w:tcPr>
            <w:tcW w:w="1730" w:type="dxa"/>
            <w:shd w:val="clear" w:color="auto" w:fill="auto"/>
          </w:tcPr>
          <w:p w14:paraId="5F710E84"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Nant Court</w:t>
            </w:r>
          </w:p>
        </w:tc>
        <w:tc>
          <w:tcPr>
            <w:tcW w:w="567" w:type="dxa"/>
            <w:shd w:val="clear" w:color="auto" w:fill="auto"/>
          </w:tcPr>
          <w:p w14:paraId="0F46C7FB"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2</w:t>
            </w:r>
          </w:p>
        </w:tc>
        <w:tc>
          <w:tcPr>
            <w:tcW w:w="709" w:type="dxa"/>
            <w:shd w:val="clear" w:color="auto" w:fill="auto"/>
          </w:tcPr>
          <w:p w14:paraId="29729C7C"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709" w:type="dxa"/>
            <w:shd w:val="clear" w:color="auto" w:fill="auto"/>
          </w:tcPr>
          <w:p w14:paraId="2CEA12A5"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19</w:t>
            </w:r>
          </w:p>
        </w:tc>
        <w:tc>
          <w:tcPr>
            <w:tcW w:w="850" w:type="dxa"/>
            <w:shd w:val="clear" w:color="auto" w:fill="auto"/>
          </w:tcPr>
          <w:p w14:paraId="2ADA165D"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21</w:t>
            </w:r>
          </w:p>
        </w:tc>
        <w:tc>
          <w:tcPr>
            <w:tcW w:w="709" w:type="dxa"/>
            <w:shd w:val="clear" w:color="auto" w:fill="auto"/>
          </w:tcPr>
          <w:p w14:paraId="0B98C023"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13</w:t>
            </w:r>
          </w:p>
        </w:tc>
        <w:tc>
          <w:tcPr>
            <w:tcW w:w="850" w:type="dxa"/>
            <w:shd w:val="clear" w:color="auto" w:fill="auto"/>
          </w:tcPr>
          <w:p w14:paraId="7E0FA3BA"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1" w:type="dxa"/>
            <w:shd w:val="clear" w:color="auto" w:fill="auto"/>
          </w:tcPr>
          <w:p w14:paraId="39090C6F"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7</w:t>
            </w:r>
          </w:p>
        </w:tc>
        <w:tc>
          <w:tcPr>
            <w:tcW w:w="850" w:type="dxa"/>
            <w:shd w:val="clear" w:color="auto" w:fill="auto"/>
          </w:tcPr>
          <w:p w14:paraId="2B2ECD86"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20</w:t>
            </w:r>
          </w:p>
        </w:tc>
        <w:tc>
          <w:tcPr>
            <w:tcW w:w="1134" w:type="dxa"/>
            <w:shd w:val="clear" w:color="auto" w:fill="auto"/>
          </w:tcPr>
          <w:p w14:paraId="3D8F674B"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41</w:t>
            </w:r>
          </w:p>
        </w:tc>
      </w:tr>
      <w:tr w:rsidR="0086723E" w:rsidRPr="009D63C8" w14:paraId="17673594" w14:textId="77777777" w:rsidTr="00B33109">
        <w:tc>
          <w:tcPr>
            <w:tcW w:w="1730" w:type="dxa"/>
            <w:shd w:val="clear" w:color="auto" w:fill="auto"/>
          </w:tcPr>
          <w:p w14:paraId="1541C7A1"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Granville Point</w:t>
            </w:r>
          </w:p>
        </w:tc>
        <w:tc>
          <w:tcPr>
            <w:tcW w:w="567" w:type="dxa"/>
            <w:shd w:val="clear" w:color="auto" w:fill="auto"/>
          </w:tcPr>
          <w:p w14:paraId="17943898"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709" w:type="dxa"/>
            <w:shd w:val="clear" w:color="auto" w:fill="auto"/>
          </w:tcPr>
          <w:p w14:paraId="2C4BCF2D"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16</w:t>
            </w:r>
          </w:p>
        </w:tc>
        <w:tc>
          <w:tcPr>
            <w:tcW w:w="709" w:type="dxa"/>
            <w:shd w:val="clear" w:color="auto" w:fill="auto"/>
          </w:tcPr>
          <w:p w14:paraId="7357AE69"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0" w:type="dxa"/>
            <w:shd w:val="clear" w:color="auto" w:fill="auto"/>
          </w:tcPr>
          <w:p w14:paraId="05CAF3C6"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16</w:t>
            </w:r>
          </w:p>
        </w:tc>
        <w:tc>
          <w:tcPr>
            <w:tcW w:w="709" w:type="dxa"/>
            <w:shd w:val="clear" w:color="auto" w:fill="auto"/>
          </w:tcPr>
          <w:p w14:paraId="55F6AFB2"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2</w:t>
            </w:r>
          </w:p>
        </w:tc>
        <w:tc>
          <w:tcPr>
            <w:tcW w:w="850" w:type="dxa"/>
            <w:shd w:val="clear" w:color="auto" w:fill="auto"/>
          </w:tcPr>
          <w:p w14:paraId="73BF256A"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42</w:t>
            </w:r>
          </w:p>
        </w:tc>
        <w:tc>
          <w:tcPr>
            <w:tcW w:w="851" w:type="dxa"/>
            <w:shd w:val="clear" w:color="auto" w:fill="auto"/>
          </w:tcPr>
          <w:p w14:paraId="070B46FA"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0" w:type="dxa"/>
            <w:shd w:val="clear" w:color="auto" w:fill="auto"/>
          </w:tcPr>
          <w:p w14:paraId="56AE94D9"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44</w:t>
            </w:r>
          </w:p>
        </w:tc>
        <w:tc>
          <w:tcPr>
            <w:tcW w:w="1134" w:type="dxa"/>
            <w:shd w:val="clear" w:color="auto" w:fill="auto"/>
          </w:tcPr>
          <w:p w14:paraId="0291333C"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60</w:t>
            </w:r>
          </w:p>
        </w:tc>
      </w:tr>
      <w:tr w:rsidR="0086723E" w:rsidRPr="009D63C8" w14:paraId="107A9DF2" w14:textId="77777777" w:rsidTr="00B33109">
        <w:tc>
          <w:tcPr>
            <w:tcW w:w="1730" w:type="dxa"/>
            <w:shd w:val="clear" w:color="auto" w:fill="auto"/>
          </w:tcPr>
          <w:p w14:paraId="6D7F2BC2"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Harpenmead Point</w:t>
            </w:r>
          </w:p>
        </w:tc>
        <w:tc>
          <w:tcPr>
            <w:tcW w:w="567" w:type="dxa"/>
            <w:shd w:val="clear" w:color="auto" w:fill="auto"/>
          </w:tcPr>
          <w:p w14:paraId="42BE9CC6"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709" w:type="dxa"/>
            <w:shd w:val="clear" w:color="auto" w:fill="auto"/>
          </w:tcPr>
          <w:p w14:paraId="259135F7"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16</w:t>
            </w:r>
          </w:p>
        </w:tc>
        <w:tc>
          <w:tcPr>
            <w:tcW w:w="709" w:type="dxa"/>
            <w:shd w:val="clear" w:color="auto" w:fill="auto"/>
          </w:tcPr>
          <w:p w14:paraId="4ED01CFF"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0" w:type="dxa"/>
            <w:shd w:val="clear" w:color="auto" w:fill="auto"/>
          </w:tcPr>
          <w:p w14:paraId="20F53B6E"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16</w:t>
            </w:r>
          </w:p>
        </w:tc>
        <w:tc>
          <w:tcPr>
            <w:tcW w:w="709" w:type="dxa"/>
            <w:shd w:val="clear" w:color="auto" w:fill="auto"/>
          </w:tcPr>
          <w:p w14:paraId="7AF5A7CD"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2</w:t>
            </w:r>
          </w:p>
        </w:tc>
        <w:tc>
          <w:tcPr>
            <w:tcW w:w="850" w:type="dxa"/>
            <w:shd w:val="clear" w:color="auto" w:fill="auto"/>
          </w:tcPr>
          <w:p w14:paraId="3D335032"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42</w:t>
            </w:r>
          </w:p>
        </w:tc>
        <w:tc>
          <w:tcPr>
            <w:tcW w:w="851" w:type="dxa"/>
            <w:shd w:val="clear" w:color="auto" w:fill="auto"/>
          </w:tcPr>
          <w:p w14:paraId="74985737"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0" w:type="dxa"/>
            <w:shd w:val="clear" w:color="auto" w:fill="auto"/>
          </w:tcPr>
          <w:p w14:paraId="1356DD02"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44</w:t>
            </w:r>
          </w:p>
        </w:tc>
        <w:tc>
          <w:tcPr>
            <w:tcW w:w="1134" w:type="dxa"/>
            <w:shd w:val="clear" w:color="auto" w:fill="auto"/>
          </w:tcPr>
          <w:p w14:paraId="06694B4E"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60</w:t>
            </w:r>
          </w:p>
        </w:tc>
      </w:tr>
      <w:tr w:rsidR="0086723E" w:rsidRPr="009D63C8" w14:paraId="58522521" w14:textId="77777777" w:rsidTr="00B33109">
        <w:tc>
          <w:tcPr>
            <w:tcW w:w="1730" w:type="dxa"/>
            <w:shd w:val="clear" w:color="auto" w:fill="auto"/>
          </w:tcPr>
          <w:p w14:paraId="4B09FFA4"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Templewood Point</w:t>
            </w:r>
          </w:p>
        </w:tc>
        <w:tc>
          <w:tcPr>
            <w:tcW w:w="567" w:type="dxa"/>
            <w:shd w:val="clear" w:color="auto" w:fill="auto"/>
          </w:tcPr>
          <w:p w14:paraId="59A10F4B"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709" w:type="dxa"/>
            <w:shd w:val="clear" w:color="auto" w:fill="auto"/>
          </w:tcPr>
          <w:p w14:paraId="12D48C7C"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16</w:t>
            </w:r>
          </w:p>
        </w:tc>
        <w:tc>
          <w:tcPr>
            <w:tcW w:w="709" w:type="dxa"/>
            <w:shd w:val="clear" w:color="auto" w:fill="auto"/>
          </w:tcPr>
          <w:p w14:paraId="7F1E3B86"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0" w:type="dxa"/>
            <w:shd w:val="clear" w:color="auto" w:fill="auto"/>
          </w:tcPr>
          <w:p w14:paraId="45DE72A6"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16</w:t>
            </w:r>
          </w:p>
        </w:tc>
        <w:tc>
          <w:tcPr>
            <w:tcW w:w="709" w:type="dxa"/>
            <w:shd w:val="clear" w:color="auto" w:fill="auto"/>
          </w:tcPr>
          <w:p w14:paraId="01E12499"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2</w:t>
            </w:r>
          </w:p>
        </w:tc>
        <w:tc>
          <w:tcPr>
            <w:tcW w:w="850" w:type="dxa"/>
            <w:shd w:val="clear" w:color="auto" w:fill="auto"/>
          </w:tcPr>
          <w:p w14:paraId="3545B057"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42</w:t>
            </w:r>
          </w:p>
        </w:tc>
        <w:tc>
          <w:tcPr>
            <w:tcW w:w="851" w:type="dxa"/>
            <w:shd w:val="clear" w:color="auto" w:fill="auto"/>
          </w:tcPr>
          <w:p w14:paraId="4D8ABA45"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0</w:t>
            </w:r>
          </w:p>
        </w:tc>
        <w:tc>
          <w:tcPr>
            <w:tcW w:w="850" w:type="dxa"/>
            <w:shd w:val="clear" w:color="auto" w:fill="auto"/>
          </w:tcPr>
          <w:p w14:paraId="5E18D08A" w14:textId="77777777" w:rsidR="0086723E" w:rsidRPr="009D63C8" w:rsidRDefault="0086723E" w:rsidP="0086723E">
            <w:pPr>
              <w:keepNext/>
              <w:keepLines/>
              <w:kinsoku w:val="0"/>
              <w:spacing w:line="312" w:lineRule="auto"/>
              <w:ind w:right="105"/>
              <w:rPr>
                <w:rFonts w:cs="Arial"/>
                <w:sz w:val="22"/>
                <w:szCs w:val="22"/>
                <w:lang w:eastAsia="en-GB"/>
              </w:rPr>
            </w:pPr>
            <w:r w:rsidRPr="009D63C8">
              <w:rPr>
                <w:rFonts w:cs="Arial"/>
                <w:sz w:val="22"/>
                <w:szCs w:val="22"/>
                <w:lang w:eastAsia="en-GB"/>
              </w:rPr>
              <w:t>44</w:t>
            </w:r>
          </w:p>
        </w:tc>
        <w:tc>
          <w:tcPr>
            <w:tcW w:w="1134" w:type="dxa"/>
            <w:shd w:val="clear" w:color="auto" w:fill="auto"/>
          </w:tcPr>
          <w:p w14:paraId="7905386A"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60</w:t>
            </w:r>
          </w:p>
        </w:tc>
      </w:tr>
      <w:tr w:rsidR="0086723E" w:rsidRPr="009D63C8" w14:paraId="454817F0" w14:textId="77777777" w:rsidTr="00B33109">
        <w:tc>
          <w:tcPr>
            <w:tcW w:w="1730" w:type="dxa"/>
            <w:shd w:val="clear" w:color="auto" w:fill="auto"/>
          </w:tcPr>
          <w:p w14:paraId="62674F1C"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TOTAL</w:t>
            </w:r>
          </w:p>
        </w:tc>
        <w:tc>
          <w:tcPr>
            <w:tcW w:w="567" w:type="dxa"/>
            <w:shd w:val="clear" w:color="auto" w:fill="auto"/>
          </w:tcPr>
          <w:p w14:paraId="3052C322"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8</w:t>
            </w:r>
          </w:p>
        </w:tc>
        <w:tc>
          <w:tcPr>
            <w:tcW w:w="709" w:type="dxa"/>
            <w:shd w:val="clear" w:color="auto" w:fill="auto"/>
          </w:tcPr>
          <w:p w14:paraId="7214C0A5"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48</w:t>
            </w:r>
          </w:p>
        </w:tc>
        <w:tc>
          <w:tcPr>
            <w:tcW w:w="709" w:type="dxa"/>
            <w:shd w:val="clear" w:color="auto" w:fill="auto"/>
          </w:tcPr>
          <w:p w14:paraId="212F7D38"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23</w:t>
            </w:r>
          </w:p>
        </w:tc>
        <w:tc>
          <w:tcPr>
            <w:tcW w:w="850" w:type="dxa"/>
            <w:shd w:val="clear" w:color="auto" w:fill="auto"/>
          </w:tcPr>
          <w:p w14:paraId="35E389D0"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79</w:t>
            </w:r>
          </w:p>
        </w:tc>
        <w:tc>
          <w:tcPr>
            <w:tcW w:w="709" w:type="dxa"/>
            <w:shd w:val="clear" w:color="auto" w:fill="auto"/>
          </w:tcPr>
          <w:p w14:paraId="752ABA70"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39</w:t>
            </w:r>
          </w:p>
        </w:tc>
        <w:tc>
          <w:tcPr>
            <w:tcW w:w="850" w:type="dxa"/>
            <w:shd w:val="clear" w:color="auto" w:fill="auto"/>
          </w:tcPr>
          <w:p w14:paraId="033F5EA4"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126</w:t>
            </w:r>
          </w:p>
        </w:tc>
        <w:tc>
          <w:tcPr>
            <w:tcW w:w="851" w:type="dxa"/>
            <w:shd w:val="clear" w:color="auto" w:fill="auto"/>
          </w:tcPr>
          <w:p w14:paraId="311E681C"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13</w:t>
            </w:r>
          </w:p>
        </w:tc>
        <w:tc>
          <w:tcPr>
            <w:tcW w:w="850" w:type="dxa"/>
            <w:shd w:val="clear" w:color="auto" w:fill="auto"/>
          </w:tcPr>
          <w:p w14:paraId="768CCC4B"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178</w:t>
            </w:r>
          </w:p>
        </w:tc>
        <w:tc>
          <w:tcPr>
            <w:tcW w:w="1134" w:type="dxa"/>
            <w:shd w:val="clear" w:color="auto" w:fill="auto"/>
          </w:tcPr>
          <w:p w14:paraId="12864D17" w14:textId="77777777" w:rsidR="0086723E" w:rsidRPr="009D63C8" w:rsidRDefault="0086723E" w:rsidP="0086723E">
            <w:pPr>
              <w:keepNext/>
              <w:keepLines/>
              <w:kinsoku w:val="0"/>
              <w:spacing w:line="312" w:lineRule="auto"/>
              <w:ind w:right="105"/>
              <w:rPr>
                <w:rFonts w:cs="Arial"/>
                <w:b/>
                <w:sz w:val="22"/>
                <w:szCs w:val="22"/>
                <w:lang w:eastAsia="en-GB"/>
              </w:rPr>
            </w:pPr>
            <w:r w:rsidRPr="009D63C8">
              <w:rPr>
                <w:rFonts w:cs="Arial"/>
                <w:b/>
                <w:sz w:val="22"/>
                <w:szCs w:val="22"/>
                <w:lang w:eastAsia="en-GB"/>
              </w:rPr>
              <w:t>257</w:t>
            </w:r>
          </w:p>
        </w:tc>
      </w:tr>
    </w:tbl>
    <w:p w14:paraId="79CB2EF2" w14:textId="77777777" w:rsidR="0086723E" w:rsidRPr="009D63C8" w:rsidRDefault="0086723E" w:rsidP="0086723E">
      <w:pPr>
        <w:pStyle w:val="Level2"/>
        <w:numPr>
          <w:ilvl w:val="0"/>
          <w:numId w:val="0"/>
        </w:numPr>
        <w:ind w:left="720"/>
        <w:rPr>
          <w:rFonts w:ascii="Arial" w:hAnsi="Arial" w:cs="Arial"/>
          <w:sz w:val="22"/>
          <w:szCs w:val="22"/>
        </w:rPr>
      </w:pPr>
    </w:p>
    <w:p w14:paraId="02D4F52D" w14:textId="6E5BB368" w:rsidR="00FA7554" w:rsidRPr="009D63C8" w:rsidRDefault="00111065" w:rsidP="00FA7554">
      <w:pPr>
        <w:pStyle w:val="Level2"/>
        <w:numPr>
          <w:ilvl w:val="1"/>
          <w:numId w:val="16"/>
        </w:numPr>
        <w:rPr>
          <w:rFonts w:ascii="Arial" w:hAnsi="Arial" w:cs="Arial"/>
          <w:sz w:val="22"/>
          <w:szCs w:val="22"/>
        </w:rPr>
      </w:pPr>
      <w:r>
        <w:rPr>
          <w:rFonts w:ascii="Arial" w:hAnsi="Arial" w:cs="Arial"/>
          <w:sz w:val="22"/>
          <w:szCs w:val="22"/>
        </w:rPr>
        <w:t>The freehold of the E</w:t>
      </w:r>
      <w:r w:rsidR="00FA7554" w:rsidRPr="009D63C8">
        <w:rPr>
          <w:rFonts w:ascii="Arial" w:hAnsi="Arial" w:cs="Arial"/>
          <w:sz w:val="22"/>
          <w:szCs w:val="22"/>
        </w:rPr>
        <w:t xml:space="preserve">state is owned by the Council and is managed by Barnet Homes, an Arm’s Length Management Organisation set up by the Council to manage and maintain the Authority’s housing stock in 2004. </w:t>
      </w:r>
    </w:p>
    <w:p w14:paraId="3ECE6B2E" w14:textId="20E6DF85" w:rsidR="000B138C" w:rsidRDefault="00091E3F" w:rsidP="004D3306">
      <w:pPr>
        <w:pStyle w:val="Level2"/>
        <w:numPr>
          <w:ilvl w:val="1"/>
          <w:numId w:val="16"/>
        </w:numPr>
        <w:rPr>
          <w:rFonts w:ascii="Arial" w:hAnsi="Arial" w:cs="Arial"/>
          <w:sz w:val="22"/>
          <w:szCs w:val="22"/>
        </w:rPr>
      </w:pPr>
      <w:r w:rsidRPr="000B138C">
        <w:rPr>
          <w:rFonts w:ascii="Arial" w:hAnsi="Arial" w:cs="Arial"/>
          <w:sz w:val="22"/>
          <w:szCs w:val="22"/>
        </w:rPr>
        <w:t xml:space="preserve">Beech Court is due to be demolished under the </w:t>
      </w:r>
      <w:r w:rsidRPr="001C071C">
        <w:rPr>
          <w:rFonts w:ascii="Arial" w:hAnsi="Arial" w:cs="Arial"/>
          <w:sz w:val="22"/>
          <w:szCs w:val="22"/>
        </w:rPr>
        <w:t>Phase 2 Scheme</w:t>
      </w:r>
      <w:r w:rsidRPr="000B138C">
        <w:rPr>
          <w:rFonts w:ascii="Arial" w:hAnsi="Arial" w:cs="Arial"/>
          <w:sz w:val="22"/>
          <w:szCs w:val="22"/>
        </w:rPr>
        <w:t xml:space="preserve">, and </w:t>
      </w:r>
      <w:r w:rsidR="000B138C" w:rsidRPr="000B138C">
        <w:rPr>
          <w:rFonts w:ascii="Arial" w:hAnsi="Arial" w:cs="Arial"/>
          <w:sz w:val="22"/>
          <w:szCs w:val="22"/>
        </w:rPr>
        <w:t>com</w:t>
      </w:r>
      <w:r w:rsidR="00F651E2">
        <w:rPr>
          <w:rFonts w:ascii="Arial" w:hAnsi="Arial" w:cs="Arial"/>
          <w:sz w:val="22"/>
          <w:szCs w:val="22"/>
        </w:rPr>
        <w:t>prises 21 one</w:t>
      </w:r>
      <w:r w:rsidR="000B138C" w:rsidRPr="000B138C">
        <w:rPr>
          <w:rFonts w:ascii="Arial" w:hAnsi="Arial" w:cs="Arial"/>
          <w:sz w:val="22"/>
          <w:szCs w:val="22"/>
        </w:rPr>
        <w:t xml:space="preserve">-bedroom flats, of which 5 </w:t>
      </w:r>
      <w:r w:rsidR="000B138C">
        <w:rPr>
          <w:rFonts w:ascii="Arial" w:hAnsi="Arial" w:cs="Arial"/>
          <w:sz w:val="22"/>
          <w:szCs w:val="22"/>
        </w:rPr>
        <w:t>have</w:t>
      </w:r>
      <w:r w:rsidR="000B138C" w:rsidRPr="000B138C">
        <w:rPr>
          <w:rFonts w:ascii="Arial" w:hAnsi="Arial" w:cs="Arial"/>
          <w:sz w:val="22"/>
          <w:szCs w:val="22"/>
        </w:rPr>
        <w:t xml:space="preserve"> been sold under the Right to Buy, and were occupied on a leasehold basis, with the remainder let as secure tenancies.</w:t>
      </w:r>
      <w:r w:rsidRPr="000B138C">
        <w:rPr>
          <w:rFonts w:ascii="Arial" w:hAnsi="Arial" w:cs="Arial"/>
          <w:sz w:val="22"/>
          <w:szCs w:val="22"/>
        </w:rPr>
        <w:t xml:space="preserve"> </w:t>
      </w:r>
    </w:p>
    <w:p w14:paraId="0FF2A785" w14:textId="77777777" w:rsidR="00C72426" w:rsidRPr="000B138C" w:rsidRDefault="00C72426" w:rsidP="004D3306">
      <w:pPr>
        <w:pStyle w:val="Level2"/>
        <w:numPr>
          <w:ilvl w:val="1"/>
          <w:numId w:val="16"/>
        </w:numPr>
        <w:rPr>
          <w:rFonts w:ascii="Arial" w:hAnsi="Arial" w:cs="Arial"/>
          <w:sz w:val="22"/>
          <w:szCs w:val="22"/>
        </w:rPr>
      </w:pPr>
      <w:r w:rsidRPr="000B138C">
        <w:rPr>
          <w:rFonts w:ascii="Arial" w:hAnsi="Arial" w:cs="Arial"/>
          <w:sz w:val="22"/>
          <w:szCs w:val="22"/>
        </w:rPr>
        <w:t>Prior to November 2017, 14 of the flats let on secure tenancies had been vacated, and Barnet Homes were actively seeking to rehouse the remaining two tenants at 6 and 14 Beech Court.</w:t>
      </w:r>
    </w:p>
    <w:p w14:paraId="6B1161B2" w14:textId="77777777" w:rsidR="00C72426" w:rsidRPr="00C72426" w:rsidRDefault="00C72426" w:rsidP="00C72426">
      <w:pPr>
        <w:pStyle w:val="TLTLevel2"/>
        <w:numPr>
          <w:ilvl w:val="1"/>
          <w:numId w:val="16"/>
        </w:numPr>
        <w:spacing w:line="360" w:lineRule="auto"/>
        <w:jc w:val="both"/>
        <w:rPr>
          <w:rFonts w:cs="Arial"/>
          <w:sz w:val="22"/>
          <w:szCs w:val="22"/>
        </w:rPr>
      </w:pPr>
      <w:r w:rsidRPr="00C72426">
        <w:rPr>
          <w:rFonts w:cs="Arial"/>
          <w:sz w:val="22"/>
          <w:szCs w:val="22"/>
        </w:rPr>
        <w:t>On 8 November 2017, the Secretary of State approved the Council's application under Part 5 of Schedule 2 of the Housing Act 1985 for possession of properties occupied on secure tenancies at Numbers 6 and 14 Beech Court. When approving the possession application, the Secretary of State took into account the matters set out in paragraph 3(1) in Part V of Schedule 2 to the Housing Act 1985 and considered that the Phase 2 Scheme proposed by the Council would enhance the housing accommodation in the neighbourhood and that disposal and redevelopment would take place in an acceptable time-scale.</w:t>
      </w:r>
    </w:p>
    <w:p w14:paraId="14DDD557" w14:textId="6E8C6128" w:rsidR="006938AF" w:rsidRDefault="00A646D3" w:rsidP="005374BF">
      <w:pPr>
        <w:pStyle w:val="Level2"/>
        <w:numPr>
          <w:ilvl w:val="1"/>
          <w:numId w:val="16"/>
        </w:numPr>
        <w:rPr>
          <w:rFonts w:ascii="Arial" w:hAnsi="Arial" w:cs="Arial"/>
          <w:sz w:val="22"/>
          <w:szCs w:val="22"/>
        </w:rPr>
      </w:pPr>
      <w:r>
        <w:rPr>
          <w:rFonts w:ascii="Arial" w:hAnsi="Arial" w:cs="Arial"/>
          <w:sz w:val="22"/>
          <w:szCs w:val="22"/>
        </w:rPr>
        <w:t>A</w:t>
      </w:r>
      <w:r w:rsidRPr="009D63C8">
        <w:rPr>
          <w:rFonts w:ascii="Arial" w:hAnsi="Arial" w:cs="Arial"/>
          <w:sz w:val="22"/>
          <w:szCs w:val="22"/>
        </w:rPr>
        <w:t>ll</w:t>
      </w:r>
      <w:r w:rsidR="00A953F7" w:rsidRPr="009D63C8">
        <w:rPr>
          <w:rFonts w:ascii="Arial" w:hAnsi="Arial" w:cs="Arial"/>
          <w:sz w:val="22"/>
          <w:szCs w:val="22"/>
        </w:rPr>
        <w:t xml:space="preserve"> the 16 affordable rented units </w:t>
      </w:r>
      <w:r>
        <w:rPr>
          <w:rFonts w:ascii="Arial" w:hAnsi="Arial" w:cs="Arial"/>
          <w:sz w:val="22"/>
          <w:szCs w:val="22"/>
        </w:rPr>
        <w:t xml:space="preserve">have </w:t>
      </w:r>
      <w:r w:rsidR="00111065">
        <w:rPr>
          <w:rFonts w:ascii="Arial" w:hAnsi="Arial" w:cs="Arial"/>
          <w:sz w:val="22"/>
          <w:szCs w:val="22"/>
        </w:rPr>
        <w:t xml:space="preserve">now </w:t>
      </w:r>
      <w:r>
        <w:rPr>
          <w:rFonts w:ascii="Arial" w:hAnsi="Arial" w:cs="Arial"/>
          <w:sz w:val="22"/>
          <w:szCs w:val="22"/>
        </w:rPr>
        <w:t>been vacated</w:t>
      </w:r>
      <w:r w:rsidR="00A953F7" w:rsidRPr="009D63C8">
        <w:rPr>
          <w:rFonts w:ascii="Arial" w:hAnsi="Arial" w:cs="Arial"/>
          <w:sz w:val="22"/>
          <w:szCs w:val="22"/>
        </w:rPr>
        <w:t>.</w:t>
      </w:r>
    </w:p>
    <w:p w14:paraId="1D4E1ED5" w14:textId="7433886C" w:rsidR="006938AF" w:rsidRDefault="006938AF" w:rsidP="005374BF">
      <w:pPr>
        <w:pStyle w:val="Level2"/>
        <w:numPr>
          <w:ilvl w:val="1"/>
          <w:numId w:val="16"/>
        </w:numPr>
        <w:rPr>
          <w:rFonts w:ascii="Arial" w:hAnsi="Arial" w:cs="Arial"/>
          <w:sz w:val="22"/>
          <w:szCs w:val="22"/>
        </w:rPr>
      </w:pPr>
      <w:r>
        <w:rPr>
          <w:rFonts w:ascii="Arial" w:hAnsi="Arial" w:cs="Arial"/>
          <w:sz w:val="22"/>
          <w:szCs w:val="22"/>
        </w:rPr>
        <w:t xml:space="preserve">Some of the vacated units are occupied by Guardians and Helen Philips explains the basis of this occupation in her proof </w:t>
      </w:r>
      <w:r w:rsidRPr="006C1A92">
        <w:rPr>
          <w:rFonts w:ascii="Arial" w:hAnsi="Arial" w:cs="Arial"/>
          <w:sz w:val="22"/>
          <w:szCs w:val="22"/>
        </w:rPr>
        <w:t>(</w:t>
      </w:r>
      <w:r w:rsidR="001C071C" w:rsidRPr="006C1A92">
        <w:rPr>
          <w:rFonts w:ascii="Arial" w:hAnsi="Arial" w:cs="Arial"/>
          <w:sz w:val="22"/>
          <w:szCs w:val="22"/>
        </w:rPr>
        <w:t>AA/</w:t>
      </w:r>
      <w:r w:rsidRPr="006C1A92">
        <w:rPr>
          <w:rFonts w:ascii="Arial" w:hAnsi="Arial" w:cs="Arial"/>
          <w:sz w:val="22"/>
          <w:szCs w:val="22"/>
        </w:rPr>
        <w:t xml:space="preserve">HP 1.1 para </w:t>
      </w:r>
      <w:r w:rsidR="006C1A92" w:rsidRPr="006C1A92">
        <w:rPr>
          <w:rFonts w:ascii="Arial" w:hAnsi="Arial" w:cs="Arial"/>
          <w:sz w:val="22"/>
          <w:szCs w:val="22"/>
        </w:rPr>
        <w:t>4</w:t>
      </w:r>
      <w:r w:rsidR="006C1A92">
        <w:rPr>
          <w:rFonts w:ascii="Arial" w:hAnsi="Arial" w:cs="Arial"/>
          <w:sz w:val="22"/>
          <w:szCs w:val="22"/>
        </w:rPr>
        <w:t>.9</w:t>
      </w:r>
      <w:r w:rsidRPr="006C1A92">
        <w:rPr>
          <w:rFonts w:ascii="Arial" w:hAnsi="Arial" w:cs="Arial"/>
          <w:sz w:val="22"/>
          <w:szCs w:val="22"/>
        </w:rPr>
        <w:t>)</w:t>
      </w:r>
      <w:r w:rsidR="006C1A92">
        <w:rPr>
          <w:rFonts w:ascii="Arial" w:hAnsi="Arial" w:cs="Arial"/>
          <w:sz w:val="22"/>
          <w:szCs w:val="22"/>
        </w:rPr>
        <w:t>.</w:t>
      </w:r>
      <w:bookmarkStart w:id="0" w:name="_GoBack"/>
      <w:bookmarkEnd w:id="0"/>
      <w:r w:rsidRPr="009D63C8" w:rsidDel="006938AF">
        <w:rPr>
          <w:rFonts w:ascii="Arial" w:hAnsi="Arial" w:cs="Arial"/>
          <w:sz w:val="22"/>
          <w:szCs w:val="22"/>
        </w:rPr>
        <w:t xml:space="preserve"> </w:t>
      </w:r>
    </w:p>
    <w:p w14:paraId="2DCACF45" w14:textId="77777777" w:rsidR="003B025E" w:rsidRPr="009D63C8" w:rsidRDefault="00023A49" w:rsidP="003C55EE">
      <w:pPr>
        <w:pStyle w:val="Level2"/>
        <w:numPr>
          <w:ilvl w:val="1"/>
          <w:numId w:val="10"/>
        </w:numPr>
        <w:ind w:left="709"/>
        <w:rPr>
          <w:rFonts w:ascii="Arial" w:hAnsi="Arial" w:cs="Arial"/>
          <w:sz w:val="22"/>
          <w:szCs w:val="22"/>
        </w:rPr>
      </w:pPr>
      <w:r w:rsidRPr="009D63C8">
        <w:rPr>
          <w:rFonts w:ascii="Arial" w:hAnsi="Arial" w:cs="Arial"/>
          <w:sz w:val="22"/>
          <w:szCs w:val="22"/>
        </w:rPr>
        <w:t>The developer has successfully acquired all 5 residential leasehold interests in Beech Court</w:t>
      </w:r>
      <w:r w:rsidR="003B025E" w:rsidRPr="009D63C8">
        <w:rPr>
          <w:rFonts w:ascii="Arial" w:hAnsi="Arial" w:cs="Arial"/>
          <w:sz w:val="22"/>
          <w:szCs w:val="22"/>
        </w:rPr>
        <w:t>.</w:t>
      </w:r>
    </w:p>
    <w:p w14:paraId="587E5C09" w14:textId="77777777" w:rsidR="00507291" w:rsidRDefault="00CD6EBE" w:rsidP="00124274">
      <w:pPr>
        <w:pStyle w:val="ListParagraph"/>
        <w:numPr>
          <w:ilvl w:val="0"/>
          <w:numId w:val="10"/>
        </w:numPr>
        <w:ind w:left="709" w:hanging="709"/>
        <w:jc w:val="left"/>
        <w:rPr>
          <w:rFonts w:cs="Arial"/>
          <w:b/>
          <w:sz w:val="22"/>
          <w:szCs w:val="22"/>
        </w:rPr>
      </w:pPr>
      <w:r w:rsidRPr="00507291">
        <w:rPr>
          <w:rFonts w:cs="Arial"/>
          <w:b/>
          <w:sz w:val="22"/>
          <w:szCs w:val="22"/>
        </w:rPr>
        <w:lastRenderedPageBreak/>
        <w:t>Responses to Objections</w:t>
      </w:r>
      <w:r w:rsidR="00395AF1" w:rsidRPr="00507291">
        <w:rPr>
          <w:rFonts w:cs="Arial"/>
          <w:b/>
          <w:sz w:val="22"/>
          <w:szCs w:val="22"/>
        </w:rPr>
        <w:t xml:space="preserve"> </w:t>
      </w:r>
    </w:p>
    <w:p w14:paraId="029DBA89" w14:textId="77777777" w:rsidR="00507291" w:rsidRPr="009D63C8" w:rsidRDefault="00507291" w:rsidP="00124274">
      <w:pPr>
        <w:pStyle w:val="ListParagraph"/>
        <w:ind w:left="709"/>
        <w:jc w:val="left"/>
        <w:rPr>
          <w:rFonts w:cs="Arial"/>
          <w:b/>
          <w:sz w:val="22"/>
          <w:szCs w:val="22"/>
        </w:rPr>
      </w:pPr>
    </w:p>
    <w:p w14:paraId="7809D782" w14:textId="77777777" w:rsidR="00CD6EBE" w:rsidRPr="00124274" w:rsidRDefault="009D63C8" w:rsidP="00124274">
      <w:pPr>
        <w:pStyle w:val="Level2"/>
        <w:numPr>
          <w:ilvl w:val="1"/>
          <w:numId w:val="10"/>
        </w:numPr>
        <w:ind w:left="709"/>
        <w:rPr>
          <w:rFonts w:ascii="Arial" w:hAnsi="Arial" w:cs="Arial"/>
          <w:sz w:val="22"/>
          <w:szCs w:val="22"/>
        </w:rPr>
      </w:pPr>
      <w:r w:rsidRPr="00124274">
        <w:rPr>
          <w:rFonts w:ascii="Arial" w:hAnsi="Arial" w:cs="Arial"/>
          <w:sz w:val="22"/>
          <w:szCs w:val="22"/>
        </w:rPr>
        <w:t>No objections have been received to the CPO that relate to the Council’s Housing Strategy.</w:t>
      </w:r>
    </w:p>
    <w:p w14:paraId="2C9D89D8" w14:textId="77777777" w:rsidR="00FA7C40" w:rsidRPr="009D63C8" w:rsidRDefault="00FA7C40" w:rsidP="003C55EE">
      <w:pPr>
        <w:pStyle w:val="ListParagraph"/>
        <w:numPr>
          <w:ilvl w:val="0"/>
          <w:numId w:val="10"/>
        </w:numPr>
        <w:ind w:left="709" w:hanging="709"/>
        <w:jc w:val="left"/>
        <w:rPr>
          <w:rFonts w:cs="Arial"/>
          <w:b/>
          <w:sz w:val="22"/>
          <w:szCs w:val="22"/>
        </w:rPr>
      </w:pPr>
      <w:r w:rsidRPr="009D63C8">
        <w:rPr>
          <w:rFonts w:cs="Arial"/>
          <w:b/>
          <w:sz w:val="22"/>
          <w:szCs w:val="22"/>
        </w:rPr>
        <w:t>Conclusion</w:t>
      </w:r>
    </w:p>
    <w:p w14:paraId="32BDF85D" w14:textId="77777777" w:rsidR="00FA7C40" w:rsidRPr="009D63C8" w:rsidRDefault="00FA7C40" w:rsidP="005810E1">
      <w:pPr>
        <w:pStyle w:val="ListParagraph"/>
        <w:ind w:left="709"/>
        <w:jc w:val="left"/>
        <w:rPr>
          <w:rFonts w:cs="Arial"/>
          <w:b/>
          <w:sz w:val="22"/>
          <w:szCs w:val="22"/>
        </w:rPr>
      </w:pPr>
    </w:p>
    <w:p w14:paraId="3CEDD9E8" w14:textId="5BB37406" w:rsidR="00507291" w:rsidRDefault="00507291" w:rsidP="00507291">
      <w:pPr>
        <w:pStyle w:val="Level2"/>
        <w:numPr>
          <w:ilvl w:val="1"/>
          <w:numId w:val="10"/>
        </w:numPr>
        <w:ind w:left="709"/>
        <w:rPr>
          <w:rFonts w:ascii="Arial" w:hAnsi="Arial" w:cs="Arial"/>
          <w:sz w:val="22"/>
          <w:szCs w:val="22"/>
        </w:rPr>
      </w:pPr>
      <w:r>
        <w:rPr>
          <w:rFonts w:ascii="Arial" w:hAnsi="Arial" w:cs="Arial"/>
          <w:sz w:val="22"/>
          <w:szCs w:val="22"/>
        </w:rPr>
        <w:t>T</w:t>
      </w:r>
      <w:r w:rsidR="009D63C8" w:rsidRPr="009D63C8">
        <w:rPr>
          <w:rFonts w:ascii="Arial" w:hAnsi="Arial" w:cs="Arial"/>
          <w:sz w:val="22"/>
          <w:szCs w:val="22"/>
        </w:rPr>
        <w:t xml:space="preserve">he </w:t>
      </w:r>
      <w:r w:rsidR="00111065">
        <w:rPr>
          <w:rFonts w:ascii="Arial" w:hAnsi="Arial" w:cs="Arial"/>
          <w:sz w:val="22"/>
          <w:szCs w:val="22"/>
        </w:rPr>
        <w:t>Phase 2 Scheme</w:t>
      </w:r>
      <w:r>
        <w:rPr>
          <w:rFonts w:ascii="Arial" w:hAnsi="Arial" w:cs="Arial"/>
          <w:sz w:val="22"/>
          <w:szCs w:val="22"/>
        </w:rPr>
        <w:t xml:space="preserve"> will </w:t>
      </w:r>
      <w:r w:rsidR="000B138C">
        <w:rPr>
          <w:rFonts w:ascii="Arial" w:hAnsi="Arial" w:cs="Arial"/>
          <w:sz w:val="22"/>
          <w:szCs w:val="22"/>
        </w:rPr>
        <w:t xml:space="preserve">deliver new homes to meet </w:t>
      </w:r>
      <w:r>
        <w:rPr>
          <w:rFonts w:ascii="Arial" w:hAnsi="Arial" w:cs="Arial"/>
          <w:sz w:val="22"/>
          <w:szCs w:val="22"/>
        </w:rPr>
        <w:t xml:space="preserve">the identified </w:t>
      </w:r>
      <w:r w:rsidR="000B138C">
        <w:rPr>
          <w:rFonts w:ascii="Arial" w:hAnsi="Arial" w:cs="Arial"/>
          <w:sz w:val="22"/>
          <w:szCs w:val="22"/>
        </w:rPr>
        <w:t>housing need in the borough</w:t>
      </w:r>
      <w:r>
        <w:rPr>
          <w:rFonts w:ascii="Arial" w:hAnsi="Arial" w:cs="Arial"/>
          <w:sz w:val="22"/>
          <w:szCs w:val="22"/>
        </w:rPr>
        <w:t xml:space="preserve">. </w:t>
      </w:r>
    </w:p>
    <w:p w14:paraId="0BCD761F" w14:textId="43BCC1CD" w:rsidR="00507291" w:rsidRDefault="00507291" w:rsidP="00507291">
      <w:pPr>
        <w:pStyle w:val="Level2"/>
        <w:numPr>
          <w:ilvl w:val="1"/>
          <w:numId w:val="10"/>
        </w:numPr>
        <w:ind w:left="709"/>
        <w:rPr>
          <w:rFonts w:ascii="Arial" w:hAnsi="Arial" w:cs="Arial"/>
          <w:sz w:val="22"/>
          <w:szCs w:val="22"/>
        </w:rPr>
      </w:pPr>
      <w:r>
        <w:rPr>
          <w:rFonts w:ascii="Arial" w:hAnsi="Arial" w:cs="Arial"/>
          <w:sz w:val="22"/>
          <w:szCs w:val="22"/>
        </w:rPr>
        <w:t>In delivering the 1</w:t>
      </w:r>
      <w:r w:rsidR="00111065">
        <w:rPr>
          <w:rFonts w:ascii="Arial" w:hAnsi="Arial" w:cs="Arial"/>
          <w:sz w:val="22"/>
          <w:szCs w:val="22"/>
        </w:rPr>
        <w:t>32 new homes (111 net) the Phase 2 Scheme</w:t>
      </w:r>
      <w:r>
        <w:rPr>
          <w:rFonts w:ascii="Arial" w:hAnsi="Arial" w:cs="Arial"/>
          <w:sz w:val="22"/>
          <w:szCs w:val="22"/>
        </w:rPr>
        <w:t xml:space="preserve"> is </w:t>
      </w:r>
      <w:r w:rsidR="00AD5CE1">
        <w:rPr>
          <w:rFonts w:ascii="Arial" w:hAnsi="Arial" w:cs="Arial"/>
          <w:sz w:val="22"/>
          <w:szCs w:val="22"/>
        </w:rPr>
        <w:t>an effective contribution to the Council's Housing Strategy.</w:t>
      </w:r>
    </w:p>
    <w:p w14:paraId="643938C2" w14:textId="546FBF6C" w:rsidR="000238ED" w:rsidRPr="00507291" w:rsidRDefault="00507291" w:rsidP="00507291">
      <w:pPr>
        <w:pStyle w:val="Level2"/>
        <w:numPr>
          <w:ilvl w:val="1"/>
          <w:numId w:val="10"/>
        </w:numPr>
        <w:ind w:left="709"/>
        <w:rPr>
          <w:rFonts w:ascii="Arial" w:hAnsi="Arial" w:cs="Arial"/>
          <w:sz w:val="22"/>
          <w:szCs w:val="22"/>
        </w:rPr>
      </w:pPr>
      <w:r>
        <w:rPr>
          <w:rFonts w:ascii="Arial" w:hAnsi="Arial" w:cs="Arial"/>
          <w:sz w:val="22"/>
          <w:szCs w:val="22"/>
        </w:rPr>
        <w:t xml:space="preserve">If the Phase 2 Scheme is not delivered then this will cause the Council to have a shortfall in its housing provision of </w:t>
      </w:r>
      <w:r w:rsidR="00111065">
        <w:rPr>
          <w:rFonts w:ascii="Arial" w:hAnsi="Arial" w:cs="Arial"/>
          <w:sz w:val="22"/>
          <w:szCs w:val="22"/>
        </w:rPr>
        <w:t>111</w:t>
      </w:r>
      <w:r w:rsidR="00B956D9">
        <w:rPr>
          <w:rFonts w:ascii="Arial" w:hAnsi="Arial" w:cs="Arial"/>
          <w:sz w:val="22"/>
          <w:szCs w:val="22"/>
        </w:rPr>
        <w:t xml:space="preserve"> </w:t>
      </w:r>
      <w:r>
        <w:rPr>
          <w:rFonts w:ascii="Arial" w:hAnsi="Arial" w:cs="Arial"/>
          <w:sz w:val="22"/>
          <w:szCs w:val="22"/>
        </w:rPr>
        <w:t xml:space="preserve">homes. There are currently no alternative proposals within the Borough that will meet this </w:t>
      </w:r>
      <w:r w:rsidR="00B956D9">
        <w:rPr>
          <w:rFonts w:ascii="Arial" w:hAnsi="Arial" w:cs="Arial"/>
          <w:sz w:val="22"/>
          <w:szCs w:val="22"/>
        </w:rPr>
        <w:t>shortfall.</w:t>
      </w:r>
      <w:r w:rsidR="009D63C8" w:rsidRPr="00507291">
        <w:rPr>
          <w:rFonts w:ascii="Arial" w:hAnsi="Arial" w:cs="Arial"/>
          <w:sz w:val="22"/>
          <w:szCs w:val="22"/>
        </w:rPr>
        <w:t xml:space="preserve"> </w:t>
      </w:r>
    </w:p>
    <w:p w14:paraId="02435ED8" w14:textId="77777777" w:rsidR="008F6F6F" w:rsidRPr="009D63C8" w:rsidRDefault="008F6F6F" w:rsidP="003C55EE">
      <w:pPr>
        <w:numPr>
          <w:ilvl w:val="0"/>
          <w:numId w:val="10"/>
        </w:numPr>
        <w:ind w:left="709" w:hanging="567"/>
        <w:jc w:val="left"/>
        <w:rPr>
          <w:rFonts w:cs="Arial"/>
          <w:b/>
          <w:sz w:val="22"/>
          <w:szCs w:val="22"/>
        </w:rPr>
      </w:pPr>
      <w:r w:rsidRPr="009D63C8">
        <w:rPr>
          <w:rFonts w:cs="Arial"/>
          <w:b/>
          <w:sz w:val="22"/>
          <w:szCs w:val="22"/>
        </w:rPr>
        <w:t>Declaration</w:t>
      </w:r>
    </w:p>
    <w:p w14:paraId="6D9A3B50" w14:textId="77777777" w:rsidR="008F6F6F" w:rsidRPr="009D63C8" w:rsidRDefault="008F6F6F" w:rsidP="005810E1">
      <w:pPr>
        <w:ind w:left="720"/>
        <w:jc w:val="left"/>
        <w:rPr>
          <w:rFonts w:cs="Arial"/>
          <w:b/>
          <w:sz w:val="22"/>
          <w:szCs w:val="22"/>
        </w:rPr>
      </w:pPr>
    </w:p>
    <w:p w14:paraId="50E26AC5" w14:textId="77777777" w:rsidR="008F6F6F" w:rsidRPr="009D63C8" w:rsidRDefault="008F6F6F" w:rsidP="001B1B7C">
      <w:pPr>
        <w:pStyle w:val="Level2"/>
        <w:numPr>
          <w:ilvl w:val="0"/>
          <w:numId w:val="0"/>
        </w:numPr>
        <w:ind w:firstLine="709"/>
        <w:rPr>
          <w:rFonts w:ascii="Arial" w:hAnsi="Arial" w:cs="Arial"/>
          <w:sz w:val="22"/>
          <w:szCs w:val="22"/>
        </w:rPr>
      </w:pPr>
      <w:r w:rsidRPr="009D63C8">
        <w:rPr>
          <w:rFonts w:ascii="Arial" w:hAnsi="Arial" w:cs="Arial"/>
          <w:sz w:val="22"/>
          <w:szCs w:val="22"/>
        </w:rPr>
        <w:t>I believe that the facts stated in this proof of evidence are true.</w:t>
      </w:r>
    </w:p>
    <w:p w14:paraId="1926D7F8" w14:textId="77777777" w:rsidR="00BD5C76" w:rsidRPr="009D63C8" w:rsidRDefault="00C15A63" w:rsidP="005810E1">
      <w:pPr>
        <w:ind w:left="709"/>
        <w:jc w:val="left"/>
        <w:rPr>
          <w:rFonts w:cs="Arial"/>
          <w:sz w:val="22"/>
          <w:szCs w:val="22"/>
        </w:rPr>
      </w:pPr>
      <w:r w:rsidRPr="009D63C8">
        <w:rPr>
          <w:rFonts w:cs="Arial"/>
          <w:noProof/>
          <w:sz w:val="22"/>
          <w:szCs w:val="22"/>
          <w:lang w:eastAsia="en-GB"/>
        </w:rPr>
        <w:drawing>
          <wp:inline distT="0" distB="0" distL="0" distR="0" wp14:anchorId="487CD4E0" wp14:editId="77FF7295">
            <wp:extent cx="1567543" cy="819398"/>
            <wp:effectExtent l="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069" cy="819150"/>
                    </a:xfrm>
                    <a:prstGeom prst="rect">
                      <a:avLst/>
                    </a:prstGeom>
                    <a:noFill/>
                    <a:ln>
                      <a:noFill/>
                    </a:ln>
                  </pic:spPr>
                </pic:pic>
              </a:graphicData>
            </a:graphic>
          </wp:inline>
        </w:drawing>
      </w:r>
    </w:p>
    <w:p w14:paraId="0237F4C1" w14:textId="77777777" w:rsidR="008F6F6F" w:rsidRPr="009D63C8" w:rsidRDefault="008F6F6F" w:rsidP="005810E1">
      <w:pPr>
        <w:ind w:left="720"/>
        <w:jc w:val="left"/>
        <w:rPr>
          <w:rFonts w:cs="Arial"/>
          <w:sz w:val="22"/>
          <w:szCs w:val="22"/>
        </w:rPr>
      </w:pPr>
      <w:r w:rsidRPr="009D63C8">
        <w:rPr>
          <w:rFonts w:cs="Arial"/>
          <w:sz w:val="22"/>
          <w:szCs w:val="22"/>
        </w:rPr>
        <w:t>___________________________________</w:t>
      </w:r>
    </w:p>
    <w:p w14:paraId="37B5314F" w14:textId="77777777" w:rsidR="008F6F6F" w:rsidRPr="009D63C8" w:rsidRDefault="008F6F6F" w:rsidP="005810E1">
      <w:pPr>
        <w:ind w:left="720"/>
        <w:jc w:val="left"/>
        <w:rPr>
          <w:rFonts w:cs="Arial"/>
          <w:sz w:val="22"/>
          <w:szCs w:val="22"/>
        </w:rPr>
      </w:pPr>
    </w:p>
    <w:p w14:paraId="3D316916" w14:textId="77777777" w:rsidR="00B37609" w:rsidRPr="009D63C8" w:rsidRDefault="008F6F6F" w:rsidP="005810E1">
      <w:pPr>
        <w:ind w:left="709"/>
        <w:jc w:val="left"/>
        <w:rPr>
          <w:rFonts w:cs="Arial"/>
          <w:b/>
          <w:sz w:val="22"/>
          <w:szCs w:val="22"/>
        </w:rPr>
      </w:pPr>
      <w:r w:rsidRPr="009D63C8">
        <w:rPr>
          <w:rFonts w:cs="Arial"/>
          <w:b/>
          <w:sz w:val="22"/>
          <w:szCs w:val="22"/>
        </w:rPr>
        <w:t>Mr Paul Shipway</w:t>
      </w:r>
    </w:p>
    <w:p w14:paraId="2B99431D" w14:textId="77777777" w:rsidR="00B37609" w:rsidRPr="009D63C8" w:rsidRDefault="00B37609" w:rsidP="005810E1">
      <w:pPr>
        <w:ind w:left="709"/>
        <w:jc w:val="left"/>
        <w:rPr>
          <w:rFonts w:cs="Arial"/>
          <w:b/>
          <w:sz w:val="22"/>
          <w:szCs w:val="22"/>
        </w:rPr>
      </w:pPr>
    </w:p>
    <w:p w14:paraId="31B08C5F" w14:textId="19281DC7" w:rsidR="008F6F6F" w:rsidRPr="009D63C8" w:rsidRDefault="00B37609" w:rsidP="005810E1">
      <w:pPr>
        <w:ind w:left="709"/>
        <w:jc w:val="left"/>
        <w:rPr>
          <w:rFonts w:cs="Arial"/>
          <w:b/>
          <w:sz w:val="22"/>
          <w:szCs w:val="22"/>
        </w:rPr>
      </w:pPr>
      <w:r w:rsidRPr="009D63C8">
        <w:rPr>
          <w:rFonts w:cs="Arial"/>
          <w:b/>
          <w:sz w:val="22"/>
          <w:szCs w:val="22"/>
        </w:rPr>
        <w:t>D</w:t>
      </w:r>
      <w:r w:rsidR="008F6F6F" w:rsidRPr="009D63C8">
        <w:rPr>
          <w:rFonts w:cs="Arial"/>
          <w:b/>
          <w:sz w:val="22"/>
          <w:szCs w:val="22"/>
        </w:rPr>
        <w:t>ated</w:t>
      </w:r>
      <w:r w:rsidR="00C15A63" w:rsidRPr="009D63C8">
        <w:rPr>
          <w:rFonts w:cs="Arial"/>
          <w:b/>
          <w:sz w:val="22"/>
          <w:szCs w:val="22"/>
        </w:rPr>
        <w:t>:</w:t>
      </w:r>
      <w:r w:rsidRPr="009D63C8">
        <w:rPr>
          <w:rFonts w:cs="Arial"/>
          <w:b/>
          <w:sz w:val="22"/>
          <w:szCs w:val="22"/>
        </w:rPr>
        <w:t xml:space="preserve">                           </w:t>
      </w:r>
      <w:r w:rsidR="00B63CAC">
        <w:rPr>
          <w:rFonts w:cs="Arial"/>
          <w:b/>
          <w:sz w:val="22"/>
          <w:szCs w:val="22"/>
        </w:rPr>
        <w:t>2</w:t>
      </w:r>
      <w:r w:rsidR="004E7827">
        <w:rPr>
          <w:rFonts w:cs="Arial"/>
          <w:b/>
          <w:sz w:val="22"/>
          <w:szCs w:val="22"/>
        </w:rPr>
        <w:t>6</w:t>
      </w:r>
      <w:r w:rsidR="00B956D9">
        <w:rPr>
          <w:rFonts w:cs="Arial"/>
          <w:b/>
          <w:sz w:val="22"/>
          <w:szCs w:val="22"/>
        </w:rPr>
        <w:t xml:space="preserve"> June</w:t>
      </w:r>
      <w:r w:rsidRPr="009D63C8">
        <w:rPr>
          <w:rFonts w:cs="Arial"/>
          <w:b/>
          <w:sz w:val="22"/>
          <w:szCs w:val="22"/>
        </w:rPr>
        <w:t xml:space="preserve"> 201</w:t>
      </w:r>
      <w:r w:rsidR="00B956D9">
        <w:rPr>
          <w:rFonts w:cs="Arial"/>
          <w:b/>
          <w:sz w:val="22"/>
          <w:szCs w:val="22"/>
        </w:rPr>
        <w:t>8</w:t>
      </w:r>
    </w:p>
    <w:p w14:paraId="5D05F45F" w14:textId="77777777" w:rsidR="008F6F6F" w:rsidRPr="009D63C8" w:rsidRDefault="008F6F6F" w:rsidP="005810E1">
      <w:pPr>
        <w:ind w:left="709"/>
        <w:jc w:val="left"/>
        <w:rPr>
          <w:rFonts w:cs="Arial"/>
          <w:sz w:val="22"/>
          <w:szCs w:val="22"/>
        </w:rPr>
      </w:pPr>
    </w:p>
    <w:sectPr w:rsidR="008F6F6F" w:rsidRPr="009D63C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75E42" w14:textId="77777777" w:rsidR="00B33109" w:rsidRDefault="00B33109" w:rsidP="00141E49">
      <w:r>
        <w:separator/>
      </w:r>
    </w:p>
  </w:endnote>
  <w:endnote w:type="continuationSeparator" w:id="0">
    <w:p w14:paraId="4A713547" w14:textId="77777777" w:rsidR="00B33109" w:rsidRDefault="00B33109" w:rsidP="0014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E8BA7" w14:textId="77777777" w:rsidR="008349D8" w:rsidRDefault="00834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7DDD6" w14:textId="381FAD14" w:rsidR="00B33109" w:rsidRDefault="00B33109" w:rsidP="00141E49">
    <w:pPr>
      <w:pStyle w:val="Footer"/>
      <w:pBdr>
        <w:top w:val="single" w:sz="4" w:space="1" w:color="D9D9D9"/>
      </w:pBdr>
      <w:rPr>
        <w:b/>
        <w:bCs/>
      </w:rPr>
    </w:pPr>
    <w:r>
      <w:fldChar w:fldCharType="begin"/>
    </w:r>
    <w:r>
      <w:instrText xml:space="preserve"> PAGE   \* MERGEFORMAT </w:instrText>
    </w:r>
    <w:r>
      <w:fldChar w:fldCharType="separate"/>
    </w:r>
    <w:r w:rsidR="00A90EAE" w:rsidRPr="00A90EAE">
      <w:rPr>
        <w:b/>
        <w:bCs/>
        <w:noProof/>
      </w:rPr>
      <w:t>6</w:t>
    </w:r>
    <w:r>
      <w:rPr>
        <w:b/>
        <w:bCs/>
        <w:noProof/>
      </w:rPr>
      <w:fldChar w:fldCharType="end"/>
    </w:r>
    <w:r>
      <w:rPr>
        <w:b/>
        <w:bCs/>
      </w:rPr>
      <w:t xml:space="preserve"> | </w:t>
    </w:r>
    <w:r w:rsidRPr="00141E49">
      <w:rPr>
        <w:color w:val="808080"/>
        <w:spacing w:val="60"/>
      </w:rPr>
      <w:t>Page</w:t>
    </w:r>
  </w:p>
  <w:p w14:paraId="20063F73" w14:textId="77777777" w:rsidR="00B33109" w:rsidRDefault="00B331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AAC76" w14:textId="77777777" w:rsidR="008349D8" w:rsidRDefault="00834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E8D8" w14:textId="77777777" w:rsidR="00B33109" w:rsidRDefault="00B33109" w:rsidP="00141E49">
      <w:r>
        <w:separator/>
      </w:r>
    </w:p>
  </w:footnote>
  <w:footnote w:type="continuationSeparator" w:id="0">
    <w:p w14:paraId="0ABFFA0F" w14:textId="77777777" w:rsidR="00B33109" w:rsidRDefault="00B33109" w:rsidP="00141E49">
      <w:r>
        <w:continuationSeparator/>
      </w:r>
    </w:p>
  </w:footnote>
  <w:footnote w:id="1">
    <w:p w14:paraId="228A21D3" w14:textId="77777777" w:rsidR="00EE6D48" w:rsidRPr="00C35242" w:rsidRDefault="00EE6D48">
      <w:pPr>
        <w:pStyle w:val="FootnoteText"/>
        <w:rPr>
          <w:lang w:val="en-GB"/>
        </w:rPr>
      </w:pPr>
      <w:r>
        <w:rPr>
          <w:rStyle w:val="FootnoteReference"/>
        </w:rPr>
        <w:footnoteRef/>
      </w:r>
      <w:r>
        <w:t xml:space="preserve"> </w:t>
      </w:r>
      <w:r>
        <w:rPr>
          <w:lang w:val="en-GB"/>
        </w:rPr>
        <w:t>This is a gross figure which does not take account of the demolition of 21 one bedroom units at Beech Court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0FBFC" w14:textId="77777777" w:rsidR="008349D8" w:rsidRDefault="00834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89C07" w14:textId="05DCACD0" w:rsidR="00B33109" w:rsidRPr="00FB3069" w:rsidRDefault="00790B7F" w:rsidP="00094201">
    <w:pPr>
      <w:pStyle w:val="Header"/>
      <w:jc w:val="right"/>
      <w:rPr>
        <w:lang w:val="en-GB"/>
      </w:rPr>
    </w:pPr>
    <w:r>
      <w:rPr>
        <w:lang w:val="en-GB"/>
      </w:rPr>
      <w:t>AA/PS</w:t>
    </w:r>
    <w:r w:rsidR="002C558F">
      <w:rPr>
        <w:lang w:val="en-GB"/>
      </w:rPr>
      <w:t>1</w:t>
    </w:r>
    <w:r w:rsidR="00FB3069">
      <w:rPr>
        <w:lang w:val="en-GB"/>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24F7" w14:textId="77777777" w:rsidR="008349D8" w:rsidRDefault="00834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11A"/>
    <w:multiLevelType w:val="multilevel"/>
    <w:tmpl w:val="2482E178"/>
    <w:lvl w:ilvl="0">
      <w:start w:val="1"/>
      <w:numFmt w:val="bullet"/>
      <w:lvlText w:val=""/>
      <w:lvlJc w:val="left"/>
      <w:pPr>
        <w:ind w:left="1440" w:hanging="360"/>
      </w:pPr>
      <w:rPr>
        <w:rFonts w:ascii="Symbol" w:hAnsi="Symbol" w:hint="default"/>
        <w:b/>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nsid w:val="03033BB5"/>
    <w:multiLevelType w:val="multilevel"/>
    <w:tmpl w:val="3246FF48"/>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03DA7873"/>
    <w:multiLevelType w:val="multilevel"/>
    <w:tmpl w:val="CB923EF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64B1366"/>
    <w:multiLevelType w:val="multilevel"/>
    <w:tmpl w:val="C1AC9B92"/>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bullet"/>
      <w:lvlText w:val=""/>
      <w:lvlJc w:val="left"/>
      <w:pPr>
        <w:ind w:left="1429" w:hanging="720"/>
      </w:pPr>
      <w:rPr>
        <w:rFonts w:ascii="Symbol" w:hAnsi="Symbol"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AD00885"/>
    <w:multiLevelType w:val="hybridMultilevel"/>
    <w:tmpl w:val="FAF04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nsid w:val="16184440"/>
    <w:multiLevelType w:val="hybridMultilevel"/>
    <w:tmpl w:val="2CD08F8C"/>
    <w:lvl w:ilvl="0" w:tplc="1142624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E87811"/>
    <w:multiLevelType w:val="multilevel"/>
    <w:tmpl w:val="6798AFA0"/>
    <w:lvl w:ilvl="0">
      <w:start w:val="5"/>
      <w:numFmt w:val="decimal"/>
      <w:lvlText w:val="%1."/>
      <w:lvlJc w:val="left"/>
      <w:pPr>
        <w:ind w:left="3905" w:hanging="360"/>
      </w:pPr>
      <w:rPr>
        <w:rFonts w:hint="default"/>
      </w:rPr>
    </w:lvl>
    <w:lvl w:ilvl="1">
      <w:start w:val="1"/>
      <w:numFmt w:val="decimal"/>
      <w:isLgl/>
      <w:lvlText w:val="%1.%2"/>
      <w:lvlJc w:val="left"/>
      <w:pPr>
        <w:ind w:left="4265" w:hanging="720"/>
      </w:pPr>
      <w:rPr>
        <w:rFonts w:cs="Times New Roman" w:hint="default"/>
      </w:rPr>
    </w:lvl>
    <w:lvl w:ilvl="2">
      <w:start w:val="1"/>
      <w:numFmt w:val="decimal"/>
      <w:isLgl/>
      <w:lvlText w:val="%1.%2.%3"/>
      <w:lvlJc w:val="left"/>
      <w:pPr>
        <w:ind w:left="4265" w:hanging="720"/>
      </w:pPr>
      <w:rPr>
        <w:rFonts w:cs="Times New Roman" w:hint="default"/>
      </w:rPr>
    </w:lvl>
    <w:lvl w:ilvl="3">
      <w:start w:val="1"/>
      <w:numFmt w:val="decimal"/>
      <w:isLgl/>
      <w:lvlText w:val="%1.%2.%3.%4"/>
      <w:lvlJc w:val="left"/>
      <w:pPr>
        <w:ind w:left="4625" w:hanging="1080"/>
      </w:pPr>
      <w:rPr>
        <w:rFonts w:cs="Times New Roman" w:hint="default"/>
      </w:rPr>
    </w:lvl>
    <w:lvl w:ilvl="4">
      <w:start w:val="1"/>
      <w:numFmt w:val="decimal"/>
      <w:isLgl/>
      <w:lvlText w:val="%1.%2.%3.%4.%5"/>
      <w:lvlJc w:val="left"/>
      <w:pPr>
        <w:ind w:left="4985" w:hanging="144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345" w:hanging="1800"/>
      </w:pPr>
      <w:rPr>
        <w:rFonts w:cs="Times New Roman" w:hint="default"/>
      </w:rPr>
    </w:lvl>
    <w:lvl w:ilvl="7">
      <w:start w:val="1"/>
      <w:numFmt w:val="decimal"/>
      <w:isLgl/>
      <w:lvlText w:val="%1.%2.%3.%4.%5.%6.%7.%8"/>
      <w:lvlJc w:val="left"/>
      <w:pPr>
        <w:ind w:left="5705" w:hanging="2160"/>
      </w:pPr>
      <w:rPr>
        <w:rFonts w:cs="Times New Roman" w:hint="default"/>
      </w:rPr>
    </w:lvl>
    <w:lvl w:ilvl="8">
      <w:start w:val="1"/>
      <w:numFmt w:val="decimal"/>
      <w:isLgl/>
      <w:lvlText w:val="%1.%2.%3.%4.%5.%6.%7.%8.%9"/>
      <w:lvlJc w:val="left"/>
      <w:pPr>
        <w:ind w:left="5705" w:hanging="2160"/>
      </w:pPr>
      <w:rPr>
        <w:rFonts w:cs="Times New Roman" w:hint="default"/>
      </w:rPr>
    </w:lvl>
  </w:abstractNum>
  <w:abstractNum w:abstractNumId="8">
    <w:nsid w:val="232041B7"/>
    <w:multiLevelType w:val="hybridMultilevel"/>
    <w:tmpl w:val="75FC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0D3E7C"/>
    <w:multiLevelType w:val="multilevel"/>
    <w:tmpl w:val="3246FF48"/>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2EC5736B"/>
    <w:multiLevelType w:val="multilevel"/>
    <w:tmpl w:val="CB923EF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F3B1F42"/>
    <w:multiLevelType w:val="multilevel"/>
    <w:tmpl w:val="6B32ED26"/>
    <w:lvl w:ilvl="0">
      <w:start w:val="5"/>
      <w:numFmt w:val="decimal"/>
      <w:lvlText w:val="%1"/>
      <w:lvlJc w:val="left"/>
      <w:pPr>
        <w:ind w:left="510" w:hanging="510"/>
      </w:pPr>
      <w:rPr>
        <w:rFonts w:hint="default"/>
      </w:rPr>
    </w:lvl>
    <w:lvl w:ilvl="1">
      <w:start w:val="1"/>
      <w:numFmt w:val="decimal"/>
      <w:lvlText w:val="%1.%2"/>
      <w:lvlJc w:val="left"/>
      <w:pPr>
        <w:ind w:left="1074" w:hanging="720"/>
      </w:pPr>
      <w:rPr>
        <w:rFonts w:hint="default"/>
        <w:b w:val="0"/>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2">
    <w:nsid w:val="2F90530B"/>
    <w:multiLevelType w:val="multilevel"/>
    <w:tmpl w:val="0B7862BA"/>
    <w:lvl w:ilvl="0">
      <w:start w:val="4"/>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F9D4664"/>
    <w:multiLevelType w:val="multilevel"/>
    <w:tmpl w:val="6AFCA4FC"/>
    <w:lvl w:ilvl="0">
      <w:start w:val="4"/>
      <w:numFmt w:val="decimal"/>
      <w:lvlText w:val="%1"/>
      <w:lvlJc w:val="left"/>
      <w:pPr>
        <w:ind w:left="435" w:hanging="43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2FDE20F2"/>
    <w:multiLevelType w:val="singleLevel"/>
    <w:tmpl w:val="CBCE290E"/>
    <w:lvl w:ilvl="0">
      <w:numFmt w:val="bullet"/>
      <w:pStyle w:val="05Bullets"/>
      <w:lvlText w:val=""/>
      <w:lvlJc w:val="left"/>
      <w:pPr>
        <w:tabs>
          <w:tab w:val="num" w:pos="397"/>
        </w:tabs>
        <w:ind w:left="397" w:hanging="397"/>
      </w:pPr>
      <w:rPr>
        <w:rFonts w:ascii="Symbol" w:hAnsi="Symbol" w:hint="default"/>
        <w:color w:val="006685"/>
      </w:rPr>
    </w:lvl>
  </w:abstractNum>
  <w:abstractNum w:abstractNumId="15">
    <w:nsid w:val="409B40F1"/>
    <w:multiLevelType w:val="multilevel"/>
    <w:tmpl w:val="086EB71A"/>
    <w:lvl w:ilvl="0">
      <w:start w:val="1"/>
      <w:numFmt w:val="decimal"/>
      <w:pStyle w:val="03HeaderMainBody"/>
      <w:lvlText w:val="%1."/>
      <w:lvlJc w:val="left"/>
      <w:pPr>
        <w:tabs>
          <w:tab w:val="num" w:pos="737"/>
        </w:tabs>
        <w:ind w:left="737" w:hanging="737"/>
      </w:pPr>
      <w:rPr>
        <w:color w:val="006685"/>
      </w:rPr>
    </w:lvl>
    <w:lvl w:ilvl="1">
      <w:start w:val="1"/>
      <w:numFmt w:val="decimal"/>
      <w:isLgl/>
      <w:lvlText w:val="%1.%2"/>
      <w:lvlJc w:val="left"/>
      <w:pPr>
        <w:tabs>
          <w:tab w:val="num" w:pos="737"/>
        </w:tabs>
        <w:ind w:left="737" w:hanging="737"/>
      </w:pPr>
    </w:lvl>
    <w:lvl w:ilvl="2">
      <w:start w:val="1"/>
      <w:numFmt w:val="decimal"/>
      <w:isLgl/>
      <w:lvlText w:val="%1.%2.%3"/>
      <w:lvlJc w:val="left"/>
      <w:pPr>
        <w:tabs>
          <w:tab w:val="num" w:pos="737"/>
        </w:tabs>
        <w:ind w:left="737" w:hanging="737"/>
      </w:pPr>
    </w:lvl>
    <w:lvl w:ilvl="3">
      <w:start w:val="1"/>
      <w:numFmt w:val="decimal"/>
      <w:isLgl/>
      <w:lvlText w:val="%1.%2.%3.%4"/>
      <w:lvlJc w:val="left"/>
      <w:pPr>
        <w:tabs>
          <w:tab w:val="num" w:pos="737"/>
        </w:tabs>
        <w:ind w:left="737" w:hanging="737"/>
      </w:pPr>
    </w:lvl>
    <w:lvl w:ilvl="4">
      <w:start w:val="1"/>
      <w:numFmt w:val="decimal"/>
      <w:isLgl/>
      <w:lvlText w:val="%1.%2.%3.%4.%5"/>
      <w:lvlJc w:val="left"/>
      <w:pPr>
        <w:tabs>
          <w:tab w:val="num" w:pos="1440"/>
        </w:tabs>
        <w:ind w:left="720" w:hanging="720"/>
      </w:pPr>
    </w:lvl>
    <w:lvl w:ilvl="5">
      <w:start w:val="1"/>
      <w:numFmt w:val="decimal"/>
      <w:isLgl/>
      <w:lvlText w:val="%1.%2.%3.%4.%5.%6"/>
      <w:lvlJc w:val="left"/>
      <w:pPr>
        <w:tabs>
          <w:tab w:val="num" w:pos="1800"/>
        </w:tabs>
        <w:ind w:left="1080" w:hanging="1080"/>
      </w:pPr>
    </w:lvl>
    <w:lvl w:ilvl="6">
      <w:start w:val="1"/>
      <w:numFmt w:val="decimal"/>
      <w:isLgl/>
      <w:lvlText w:val="%1.%2.%3.%4.%5.%6.%7"/>
      <w:lvlJc w:val="left"/>
      <w:pPr>
        <w:tabs>
          <w:tab w:val="num" w:pos="2160"/>
        </w:tabs>
        <w:ind w:left="1080" w:hanging="1080"/>
      </w:pPr>
    </w:lvl>
    <w:lvl w:ilvl="7">
      <w:start w:val="1"/>
      <w:numFmt w:val="decimal"/>
      <w:isLgl/>
      <w:lvlText w:val="%1.%2.%3.%4.%5.%6.%7.%8"/>
      <w:lvlJc w:val="left"/>
      <w:pPr>
        <w:tabs>
          <w:tab w:val="num" w:pos="2520"/>
        </w:tabs>
        <w:ind w:left="1440" w:hanging="1440"/>
      </w:pPr>
    </w:lvl>
    <w:lvl w:ilvl="8">
      <w:start w:val="1"/>
      <w:numFmt w:val="decimal"/>
      <w:isLgl/>
      <w:lvlText w:val="%1.%2.%3.%4.%5.%6.%7.%8.%9"/>
      <w:lvlJc w:val="left"/>
      <w:pPr>
        <w:tabs>
          <w:tab w:val="num" w:pos="2880"/>
        </w:tabs>
        <w:ind w:left="1440" w:hanging="1440"/>
      </w:pPr>
    </w:lvl>
  </w:abstractNum>
  <w:abstractNum w:abstractNumId="16">
    <w:nsid w:val="453C3EC2"/>
    <w:multiLevelType w:val="multilevel"/>
    <w:tmpl w:val="BB02F5E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47140038"/>
    <w:multiLevelType w:val="multilevel"/>
    <w:tmpl w:val="3246FF48"/>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8">
    <w:nsid w:val="4A4E5640"/>
    <w:multiLevelType w:val="multilevel"/>
    <w:tmpl w:val="A984B39C"/>
    <w:numStyleLink w:val="Level"/>
  </w:abstractNum>
  <w:abstractNum w:abstractNumId="19">
    <w:nsid w:val="4BE977FB"/>
    <w:multiLevelType w:val="multilevel"/>
    <w:tmpl w:val="3246FF48"/>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4D3F36D6"/>
    <w:multiLevelType w:val="multilevel"/>
    <w:tmpl w:val="61A46E2E"/>
    <w:lvl w:ilvl="0">
      <w:start w:val="4"/>
      <w:numFmt w:val="decimal"/>
      <w:lvlText w:val="%1"/>
      <w:lvlJc w:val="left"/>
      <w:pPr>
        <w:ind w:left="510" w:hanging="510"/>
      </w:pPr>
      <w:rPr>
        <w:rFonts w:hint="default"/>
      </w:rPr>
    </w:lvl>
    <w:lvl w:ilvl="1">
      <w:start w:val="2"/>
      <w:numFmt w:val="decimal"/>
      <w:lvlText w:val="%1.%2"/>
      <w:lvlJc w:val="left"/>
      <w:pPr>
        <w:ind w:left="108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888" w:hanging="144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694" w:hanging="2160"/>
      </w:pPr>
      <w:rPr>
        <w:rFonts w:hint="default"/>
      </w:rPr>
    </w:lvl>
    <w:lvl w:ilvl="8">
      <w:start w:val="1"/>
      <w:numFmt w:val="decimal"/>
      <w:lvlText w:val="%1.%2.%3.%4.%5.%6.%7.%8.%9"/>
      <w:lvlJc w:val="left"/>
      <w:pPr>
        <w:ind w:left="5056" w:hanging="2160"/>
      </w:pPr>
      <w:rPr>
        <w:rFonts w:hint="default"/>
      </w:rPr>
    </w:lvl>
  </w:abstractNum>
  <w:abstractNum w:abstractNumId="21">
    <w:nsid w:val="53D137FF"/>
    <w:multiLevelType w:val="multilevel"/>
    <w:tmpl w:val="E8EE6F2A"/>
    <w:lvl w:ilvl="0">
      <w:start w:val="4"/>
      <w:numFmt w:val="decimal"/>
      <w:lvlText w:val="%1"/>
      <w:lvlJc w:val="left"/>
      <w:pPr>
        <w:ind w:left="360" w:hanging="360"/>
      </w:pPr>
      <w:rPr>
        <w:rFonts w:hint="default"/>
      </w:rPr>
    </w:lvl>
    <w:lvl w:ilvl="1">
      <w:start w:val="1"/>
      <w:numFmt w:val="decimal"/>
      <w:lvlText w:val="%1.%2"/>
      <w:lvlJc w:val="left"/>
      <w:pPr>
        <w:ind w:left="709"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396" w:hanging="144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734" w:hanging="1800"/>
      </w:pPr>
      <w:rPr>
        <w:rFonts w:hint="default"/>
      </w:rPr>
    </w:lvl>
    <w:lvl w:ilvl="7">
      <w:start w:val="1"/>
      <w:numFmt w:val="decimal"/>
      <w:lvlText w:val="%1.%2.%3.%4.%5.%6.%7.%8"/>
      <w:lvlJc w:val="left"/>
      <w:pPr>
        <w:ind w:left="2083" w:hanging="2160"/>
      </w:pPr>
      <w:rPr>
        <w:rFonts w:hint="default"/>
      </w:rPr>
    </w:lvl>
    <w:lvl w:ilvl="8">
      <w:start w:val="1"/>
      <w:numFmt w:val="decimal"/>
      <w:lvlText w:val="%1.%2.%3.%4.%5.%6.%7.%8.%9"/>
      <w:lvlJc w:val="left"/>
      <w:pPr>
        <w:ind w:left="2072" w:hanging="2160"/>
      </w:pPr>
      <w:rPr>
        <w:rFonts w:hint="default"/>
      </w:rPr>
    </w:lvl>
  </w:abstractNum>
  <w:abstractNum w:abstractNumId="22">
    <w:nsid w:val="56AE2699"/>
    <w:multiLevelType w:val="multilevel"/>
    <w:tmpl w:val="CB923EF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77A3C7B"/>
    <w:multiLevelType w:val="multilevel"/>
    <w:tmpl w:val="D81C25F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590B429E"/>
    <w:multiLevelType w:val="multilevel"/>
    <w:tmpl w:val="3246FF48"/>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5C3403CC"/>
    <w:multiLevelType w:val="multilevel"/>
    <w:tmpl w:val="C1AC9B92"/>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bullet"/>
      <w:lvlText w:val=""/>
      <w:lvlJc w:val="left"/>
      <w:pPr>
        <w:ind w:left="1429" w:hanging="720"/>
      </w:pPr>
      <w:rPr>
        <w:rFonts w:ascii="Symbol" w:hAnsi="Symbol"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5C754979"/>
    <w:multiLevelType w:val="multilevel"/>
    <w:tmpl w:val="71924EF8"/>
    <w:lvl w:ilvl="0">
      <w:start w:val="6"/>
      <w:numFmt w:val="decimal"/>
      <w:lvlText w:val="%1"/>
      <w:lvlJc w:val="left"/>
      <w:pPr>
        <w:ind w:left="525" w:hanging="525"/>
      </w:pPr>
      <w:rPr>
        <w:rFonts w:hint="default"/>
      </w:rPr>
    </w:lvl>
    <w:lvl w:ilvl="1">
      <w:start w:val="2"/>
      <w:numFmt w:val="decimal"/>
      <w:lvlText w:val="%1.%2"/>
      <w:lvlJc w:val="left"/>
      <w:pPr>
        <w:ind w:left="780" w:hanging="525"/>
      </w:pPr>
      <w:rPr>
        <w:rFonts w:hint="default"/>
      </w:rPr>
    </w:lvl>
    <w:lvl w:ilvl="2">
      <w:start w:val="1"/>
      <w:numFmt w:val="decimal"/>
      <w:lvlText w:val="%1.%2.%3"/>
      <w:lvlJc w:val="left"/>
      <w:pPr>
        <w:ind w:left="1230" w:hanging="720"/>
      </w:pPr>
      <w:rPr>
        <w:rFonts w:ascii="Verdana" w:hAnsi="Verdana" w:hint="default"/>
        <w:sz w:val="20"/>
        <w:szCs w:val="20"/>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840" w:hanging="1800"/>
      </w:pPr>
      <w:rPr>
        <w:rFonts w:hint="default"/>
      </w:rPr>
    </w:lvl>
  </w:abstractNum>
  <w:abstractNum w:abstractNumId="27">
    <w:nsid w:val="5D710C09"/>
    <w:multiLevelType w:val="multilevel"/>
    <w:tmpl w:val="3246FF48"/>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62787184"/>
    <w:multiLevelType w:val="multilevel"/>
    <w:tmpl w:val="98928F8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92"/>
        </w:tabs>
        <w:ind w:left="992"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nsid w:val="68E26A61"/>
    <w:multiLevelType w:val="multilevel"/>
    <w:tmpl w:val="B29CB204"/>
    <w:lvl w:ilvl="0">
      <w:start w:val="7"/>
      <w:numFmt w:val="decimal"/>
      <w:lvlText w:val="%1"/>
      <w:lvlJc w:val="left"/>
      <w:pPr>
        <w:ind w:left="510" w:hanging="510"/>
      </w:pPr>
      <w:rPr>
        <w:rFonts w:hint="default"/>
      </w:rPr>
    </w:lvl>
    <w:lvl w:ilvl="1">
      <w:start w:val="2"/>
      <w:numFmt w:val="decimal"/>
      <w:lvlText w:val="%1.%2"/>
      <w:lvlJc w:val="left"/>
      <w:pPr>
        <w:ind w:left="715" w:hanging="720"/>
      </w:pPr>
      <w:rPr>
        <w:rFonts w:hint="default"/>
        <w:b w:val="0"/>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420" w:hanging="144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770" w:hanging="1800"/>
      </w:pPr>
      <w:rPr>
        <w:rFonts w:hint="default"/>
      </w:rPr>
    </w:lvl>
    <w:lvl w:ilvl="7">
      <w:start w:val="1"/>
      <w:numFmt w:val="decimal"/>
      <w:lvlText w:val="%1.%2.%3.%4.%5.%6.%7.%8"/>
      <w:lvlJc w:val="left"/>
      <w:pPr>
        <w:ind w:left="2125" w:hanging="2160"/>
      </w:pPr>
      <w:rPr>
        <w:rFonts w:hint="default"/>
      </w:rPr>
    </w:lvl>
    <w:lvl w:ilvl="8">
      <w:start w:val="1"/>
      <w:numFmt w:val="decimal"/>
      <w:lvlText w:val="%1.%2.%3.%4.%5.%6.%7.%8.%9"/>
      <w:lvlJc w:val="left"/>
      <w:pPr>
        <w:ind w:left="2120" w:hanging="2160"/>
      </w:pPr>
      <w:rPr>
        <w:rFonts w:hint="default"/>
      </w:rPr>
    </w:lvl>
  </w:abstractNum>
  <w:abstractNum w:abstractNumId="30">
    <w:nsid w:val="6BAB4025"/>
    <w:multiLevelType w:val="multilevel"/>
    <w:tmpl w:val="2482E178"/>
    <w:lvl w:ilvl="0">
      <w:start w:val="1"/>
      <w:numFmt w:val="bullet"/>
      <w:lvlText w:val=""/>
      <w:lvlJc w:val="left"/>
      <w:pPr>
        <w:ind w:left="1440" w:hanging="360"/>
      </w:pPr>
      <w:rPr>
        <w:rFonts w:ascii="Symbol" w:hAnsi="Symbol" w:hint="default"/>
        <w:b/>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1">
    <w:nsid w:val="6D8027CC"/>
    <w:multiLevelType w:val="hybridMultilevel"/>
    <w:tmpl w:val="AF363DEC"/>
    <w:lvl w:ilvl="0" w:tplc="6A7EF0C0">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8922EA"/>
    <w:multiLevelType w:val="multilevel"/>
    <w:tmpl w:val="3246FF48"/>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3">
    <w:nsid w:val="706A6F50"/>
    <w:multiLevelType w:val="multilevel"/>
    <w:tmpl w:val="58A411E4"/>
    <w:lvl w:ilvl="0">
      <w:start w:val="1"/>
      <w:numFmt w:val="decimal"/>
      <w:pStyle w:val="GVAMainHeading"/>
      <w:lvlText w:val="%1."/>
      <w:lvlJc w:val="left"/>
      <w:pPr>
        <w:tabs>
          <w:tab w:val="num" w:pos="737"/>
        </w:tabs>
        <w:ind w:left="737" w:hanging="737"/>
      </w:pPr>
      <w:rPr>
        <w:rFonts w:ascii="Century Gothic" w:hAnsi="Century Gothic" w:hint="default"/>
        <w:color w:val="8A2529"/>
      </w:rPr>
    </w:lvl>
    <w:lvl w:ilvl="1">
      <w:start w:val="1"/>
      <w:numFmt w:val="decimal"/>
      <w:pStyle w:val="GVANumberedBodyText"/>
      <w:isLgl/>
      <w:lvlText w:val="%1.%2"/>
      <w:lvlJc w:val="left"/>
      <w:pPr>
        <w:tabs>
          <w:tab w:val="num" w:pos="737"/>
        </w:tabs>
        <w:ind w:left="737" w:hanging="737"/>
      </w:pPr>
      <w:rPr>
        <w:rFonts w:ascii="Century Gothic" w:hAnsi="Century Gothic" w:hint="default"/>
        <w:b w:val="0"/>
        <w:i w:val="0"/>
        <w:sz w:val="20"/>
        <w:szCs w:val="20"/>
      </w:rPr>
    </w:lvl>
    <w:lvl w:ilvl="2">
      <w:start w:val="1"/>
      <w:numFmt w:val="decimal"/>
      <w:isLgl/>
      <w:lvlText w:val="%1.%2.%3"/>
      <w:lvlJc w:val="left"/>
      <w:pPr>
        <w:tabs>
          <w:tab w:val="num" w:pos="737"/>
        </w:tabs>
        <w:ind w:left="737" w:hanging="737"/>
      </w:pPr>
      <w:rPr>
        <w:rFonts w:ascii="Century Gothic" w:hAnsi="Century Gothic" w:hint="default"/>
      </w:rPr>
    </w:lvl>
    <w:lvl w:ilvl="3">
      <w:start w:val="1"/>
      <w:numFmt w:val="decimal"/>
      <w:isLgl/>
      <w:lvlText w:val="%1.%2.%3.%4"/>
      <w:lvlJc w:val="left"/>
      <w:pPr>
        <w:tabs>
          <w:tab w:val="num" w:pos="737"/>
        </w:tabs>
        <w:ind w:left="737" w:hanging="737"/>
      </w:pPr>
    </w:lvl>
    <w:lvl w:ilvl="4">
      <w:start w:val="1"/>
      <w:numFmt w:val="decimal"/>
      <w:isLgl/>
      <w:lvlText w:val="%1.%2.%3.%4.%5"/>
      <w:lvlJc w:val="left"/>
      <w:pPr>
        <w:tabs>
          <w:tab w:val="num" w:pos="1440"/>
        </w:tabs>
        <w:ind w:left="720" w:hanging="720"/>
      </w:pPr>
    </w:lvl>
    <w:lvl w:ilvl="5">
      <w:start w:val="1"/>
      <w:numFmt w:val="decimal"/>
      <w:isLgl/>
      <w:lvlText w:val="%1.%2.%3.%4.%5.%6"/>
      <w:lvlJc w:val="left"/>
      <w:pPr>
        <w:tabs>
          <w:tab w:val="num" w:pos="1800"/>
        </w:tabs>
        <w:ind w:left="1080" w:hanging="1080"/>
      </w:pPr>
    </w:lvl>
    <w:lvl w:ilvl="6">
      <w:start w:val="1"/>
      <w:numFmt w:val="decimal"/>
      <w:isLgl/>
      <w:lvlText w:val="%1.%2.%3.%4.%5.%6.%7"/>
      <w:lvlJc w:val="left"/>
      <w:pPr>
        <w:tabs>
          <w:tab w:val="num" w:pos="2160"/>
        </w:tabs>
        <w:ind w:left="1080" w:hanging="1080"/>
      </w:pPr>
    </w:lvl>
    <w:lvl w:ilvl="7">
      <w:start w:val="1"/>
      <w:numFmt w:val="decimal"/>
      <w:isLgl/>
      <w:lvlText w:val="%1.%2.%3.%4.%5.%6.%7.%8"/>
      <w:lvlJc w:val="left"/>
      <w:pPr>
        <w:tabs>
          <w:tab w:val="num" w:pos="2520"/>
        </w:tabs>
        <w:ind w:left="1440" w:hanging="1440"/>
      </w:pPr>
    </w:lvl>
    <w:lvl w:ilvl="8">
      <w:start w:val="1"/>
      <w:numFmt w:val="decimal"/>
      <w:isLgl/>
      <w:lvlText w:val="%1.%2.%3.%4.%5.%6.%7.%8.%9"/>
      <w:lvlJc w:val="left"/>
      <w:pPr>
        <w:tabs>
          <w:tab w:val="num" w:pos="2880"/>
        </w:tabs>
        <w:ind w:left="1440" w:hanging="1440"/>
      </w:pPr>
    </w:lvl>
  </w:abstractNum>
  <w:abstractNum w:abstractNumId="34">
    <w:nsid w:val="74495D74"/>
    <w:multiLevelType w:val="hybridMultilevel"/>
    <w:tmpl w:val="087A8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67363D4"/>
    <w:multiLevelType w:val="multilevel"/>
    <w:tmpl w:val="F3522488"/>
    <w:lvl w:ilvl="0">
      <w:start w:val="4"/>
      <w:numFmt w:val="decimal"/>
      <w:lvlText w:val="%1"/>
      <w:lvlJc w:val="left"/>
      <w:pPr>
        <w:ind w:left="435" w:hanging="43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7A137BD0"/>
    <w:multiLevelType w:val="multilevel"/>
    <w:tmpl w:val="CB923EF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A1662A6"/>
    <w:multiLevelType w:val="multilevel"/>
    <w:tmpl w:val="3246FF48"/>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7C9372EE"/>
    <w:multiLevelType w:val="multilevel"/>
    <w:tmpl w:val="3246FF48"/>
    <w:lvl w:ilvl="0">
      <w:start w:val="5"/>
      <w:numFmt w:val="decimal"/>
      <w:lvlText w:val="%1."/>
      <w:lvlJc w:val="left"/>
      <w:pPr>
        <w:ind w:left="1069" w:hanging="360"/>
      </w:pPr>
      <w:rPr>
        <w:rFonts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9">
    <w:nsid w:val="7F1171F0"/>
    <w:multiLevelType w:val="hybridMultilevel"/>
    <w:tmpl w:val="AD3C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0"/>
  </w:num>
  <w:num w:numId="7">
    <w:abstractNumId w:val="11"/>
  </w:num>
  <w:num w:numId="8">
    <w:abstractNumId w:val="26"/>
  </w:num>
  <w:num w:numId="9">
    <w:abstractNumId w:val="8"/>
  </w:num>
  <w:num w:numId="10">
    <w:abstractNumId w:val="7"/>
  </w:num>
  <w:num w:numId="11">
    <w:abstractNumId w:val="39"/>
  </w:num>
  <w:num w:numId="12">
    <w:abstractNumId w:val="4"/>
  </w:num>
  <w:num w:numId="13">
    <w:abstractNumId w:val="20"/>
  </w:num>
  <w:num w:numId="14">
    <w:abstractNumId w:val="30"/>
  </w:num>
  <w:num w:numId="15">
    <w:abstractNumId w:val="21"/>
  </w:num>
  <w:num w:numId="16">
    <w:abstractNumId w:val="16"/>
  </w:num>
  <w:num w:numId="17">
    <w:abstractNumId w:val="12"/>
  </w:num>
  <w:num w:numId="18">
    <w:abstractNumId w:val="19"/>
  </w:num>
  <w:num w:numId="19">
    <w:abstractNumId w:val="17"/>
  </w:num>
  <w:num w:numId="20">
    <w:abstractNumId w:val="6"/>
  </w:num>
  <w:num w:numId="21">
    <w:abstractNumId w:val="29"/>
  </w:num>
  <w:num w:numId="22">
    <w:abstractNumId w:val="24"/>
  </w:num>
  <w:num w:numId="23">
    <w:abstractNumId w:val="27"/>
  </w:num>
  <w:num w:numId="24">
    <w:abstractNumId w:val="9"/>
  </w:num>
  <w:num w:numId="25">
    <w:abstractNumId w:val="37"/>
  </w:num>
  <w:num w:numId="26">
    <w:abstractNumId w:val="38"/>
  </w:num>
  <w:num w:numId="27">
    <w:abstractNumId w:val="23"/>
  </w:num>
  <w:num w:numId="28">
    <w:abstractNumId w:val="1"/>
  </w:num>
  <w:num w:numId="29">
    <w:abstractNumId w:val="32"/>
  </w:num>
  <w:num w:numId="30">
    <w:abstractNumId w:val="25"/>
  </w:num>
  <w:num w:numId="31">
    <w:abstractNumId w:val="3"/>
  </w:num>
  <w:num w:numId="32">
    <w:abstractNumId w:val="22"/>
  </w:num>
  <w:num w:numId="33">
    <w:abstractNumId w:val="31"/>
  </w:num>
  <w:num w:numId="34">
    <w:abstractNumId w:val="13"/>
  </w:num>
  <w:num w:numId="35">
    <w:abstractNumId w:val="35"/>
  </w:num>
  <w:num w:numId="36">
    <w:abstractNumId w:val="36"/>
  </w:num>
  <w:num w:numId="37">
    <w:abstractNumId w:val="10"/>
  </w:num>
  <w:num w:numId="38">
    <w:abstractNumId w:val="34"/>
  </w:num>
  <w:num w:numId="39">
    <w:abstractNumId w:val="5"/>
  </w:num>
  <w:num w:numId="40">
    <w:abstractNumId w:val="18"/>
  </w:num>
  <w:num w:numId="41">
    <w:abstractNumId w:val="28"/>
  </w:num>
  <w:num w:numId="42">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18/12/2014 14:43"/>
  </w:docVars>
  <w:rsids>
    <w:rsidRoot w:val="00727FDA"/>
    <w:rsid w:val="000005C1"/>
    <w:rsid w:val="00001BEA"/>
    <w:rsid w:val="000044C0"/>
    <w:rsid w:val="00006FB2"/>
    <w:rsid w:val="00017956"/>
    <w:rsid w:val="000226C3"/>
    <w:rsid w:val="000238ED"/>
    <w:rsid w:val="00023A49"/>
    <w:rsid w:val="0002485D"/>
    <w:rsid w:val="000259E0"/>
    <w:rsid w:val="00025C39"/>
    <w:rsid w:val="00027CB6"/>
    <w:rsid w:val="00037A02"/>
    <w:rsid w:val="00043322"/>
    <w:rsid w:val="00043436"/>
    <w:rsid w:val="00047C91"/>
    <w:rsid w:val="00053588"/>
    <w:rsid w:val="00060D96"/>
    <w:rsid w:val="00063E8E"/>
    <w:rsid w:val="000649D5"/>
    <w:rsid w:val="000703E3"/>
    <w:rsid w:val="000715A6"/>
    <w:rsid w:val="000719FB"/>
    <w:rsid w:val="00073269"/>
    <w:rsid w:val="0007336E"/>
    <w:rsid w:val="000772AC"/>
    <w:rsid w:val="00081651"/>
    <w:rsid w:val="00090D93"/>
    <w:rsid w:val="00090DCC"/>
    <w:rsid w:val="00091E3F"/>
    <w:rsid w:val="00094201"/>
    <w:rsid w:val="00095110"/>
    <w:rsid w:val="000A2AC9"/>
    <w:rsid w:val="000B03B6"/>
    <w:rsid w:val="000B138C"/>
    <w:rsid w:val="000B39B7"/>
    <w:rsid w:val="000C41CE"/>
    <w:rsid w:val="000C5767"/>
    <w:rsid w:val="000C77EA"/>
    <w:rsid w:val="000D1688"/>
    <w:rsid w:val="000E28D1"/>
    <w:rsid w:val="000E4325"/>
    <w:rsid w:val="000E566B"/>
    <w:rsid w:val="000E76D3"/>
    <w:rsid w:val="000F13FB"/>
    <w:rsid w:val="000F2424"/>
    <w:rsid w:val="000F2BFD"/>
    <w:rsid w:val="000F2F83"/>
    <w:rsid w:val="001005C2"/>
    <w:rsid w:val="001025EE"/>
    <w:rsid w:val="00107203"/>
    <w:rsid w:val="00111065"/>
    <w:rsid w:val="0011311D"/>
    <w:rsid w:val="00124274"/>
    <w:rsid w:val="00130453"/>
    <w:rsid w:val="0013150A"/>
    <w:rsid w:val="00131BB8"/>
    <w:rsid w:val="00131DD4"/>
    <w:rsid w:val="00132008"/>
    <w:rsid w:val="00134CD8"/>
    <w:rsid w:val="00140823"/>
    <w:rsid w:val="00141E49"/>
    <w:rsid w:val="00142367"/>
    <w:rsid w:val="00142492"/>
    <w:rsid w:val="00142DBA"/>
    <w:rsid w:val="00145049"/>
    <w:rsid w:val="001478FF"/>
    <w:rsid w:val="00160617"/>
    <w:rsid w:val="001606F8"/>
    <w:rsid w:val="00174FA0"/>
    <w:rsid w:val="001756A0"/>
    <w:rsid w:val="001852D7"/>
    <w:rsid w:val="00191724"/>
    <w:rsid w:val="00193A90"/>
    <w:rsid w:val="00196A27"/>
    <w:rsid w:val="001A7C30"/>
    <w:rsid w:val="001B1B7C"/>
    <w:rsid w:val="001B2108"/>
    <w:rsid w:val="001B668A"/>
    <w:rsid w:val="001B7ECB"/>
    <w:rsid w:val="001C071C"/>
    <w:rsid w:val="001C0C4E"/>
    <w:rsid w:val="001D10CB"/>
    <w:rsid w:val="001D549C"/>
    <w:rsid w:val="001F52D1"/>
    <w:rsid w:val="00203745"/>
    <w:rsid w:val="00204312"/>
    <w:rsid w:val="00213B39"/>
    <w:rsid w:val="00215EE6"/>
    <w:rsid w:val="00220F5C"/>
    <w:rsid w:val="00230410"/>
    <w:rsid w:val="00232FB7"/>
    <w:rsid w:val="002450AE"/>
    <w:rsid w:val="00245250"/>
    <w:rsid w:val="00246561"/>
    <w:rsid w:val="0025126C"/>
    <w:rsid w:val="002515FB"/>
    <w:rsid w:val="00252BC1"/>
    <w:rsid w:val="00255252"/>
    <w:rsid w:val="00255A2E"/>
    <w:rsid w:val="002571C7"/>
    <w:rsid w:val="002572B0"/>
    <w:rsid w:val="00264E29"/>
    <w:rsid w:val="00266CA1"/>
    <w:rsid w:val="00286C3E"/>
    <w:rsid w:val="0028730C"/>
    <w:rsid w:val="00291DB4"/>
    <w:rsid w:val="002933D2"/>
    <w:rsid w:val="002968D3"/>
    <w:rsid w:val="002A21E4"/>
    <w:rsid w:val="002A24A9"/>
    <w:rsid w:val="002A2E99"/>
    <w:rsid w:val="002A649A"/>
    <w:rsid w:val="002B19C9"/>
    <w:rsid w:val="002B30C6"/>
    <w:rsid w:val="002B33FB"/>
    <w:rsid w:val="002C02A4"/>
    <w:rsid w:val="002C558F"/>
    <w:rsid w:val="002E6442"/>
    <w:rsid w:val="002F11EE"/>
    <w:rsid w:val="002F3114"/>
    <w:rsid w:val="002F557E"/>
    <w:rsid w:val="002F6FB3"/>
    <w:rsid w:val="00300A4F"/>
    <w:rsid w:val="00303FD5"/>
    <w:rsid w:val="00306C36"/>
    <w:rsid w:val="003208B7"/>
    <w:rsid w:val="00331689"/>
    <w:rsid w:val="003316EB"/>
    <w:rsid w:val="00332F7C"/>
    <w:rsid w:val="00335949"/>
    <w:rsid w:val="00341538"/>
    <w:rsid w:val="003455B7"/>
    <w:rsid w:val="00350559"/>
    <w:rsid w:val="00351382"/>
    <w:rsid w:val="00353FFC"/>
    <w:rsid w:val="00360016"/>
    <w:rsid w:val="003653A8"/>
    <w:rsid w:val="00365ADE"/>
    <w:rsid w:val="00371F42"/>
    <w:rsid w:val="00372E39"/>
    <w:rsid w:val="00373BF2"/>
    <w:rsid w:val="00375323"/>
    <w:rsid w:val="00377C0E"/>
    <w:rsid w:val="00377D82"/>
    <w:rsid w:val="003825ED"/>
    <w:rsid w:val="00384A07"/>
    <w:rsid w:val="00384B95"/>
    <w:rsid w:val="00385CF6"/>
    <w:rsid w:val="0039489B"/>
    <w:rsid w:val="00395AF1"/>
    <w:rsid w:val="003A1DBF"/>
    <w:rsid w:val="003A63EC"/>
    <w:rsid w:val="003B025E"/>
    <w:rsid w:val="003B1561"/>
    <w:rsid w:val="003C1FA5"/>
    <w:rsid w:val="003C3E4C"/>
    <w:rsid w:val="003C55EE"/>
    <w:rsid w:val="003C64AF"/>
    <w:rsid w:val="003D62EB"/>
    <w:rsid w:val="003D660E"/>
    <w:rsid w:val="003D688D"/>
    <w:rsid w:val="003D71F6"/>
    <w:rsid w:val="003E0004"/>
    <w:rsid w:val="003E53FC"/>
    <w:rsid w:val="003E60F6"/>
    <w:rsid w:val="003F23B4"/>
    <w:rsid w:val="003F2502"/>
    <w:rsid w:val="003F4C76"/>
    <w:rsid w:val="00400402"/>
    <w:rsid w:val="004129F1"/>
    <w:rsid w:val="00414A10"/>
    <w:rsid w:val="00420F3D"/>
    <w:rsid w:val="0042162D"/>
    <w:rsid w:val="00435E0C"/>
    <w:rsid w:val="00442061"/>
    <w:rsid w:val="004447D8"/>
    <w:rsid w:val="004466C1"/>
    <w:rsid w:val="00452B7F"/>
    <w:rsid w:val="00455140"/>
    <w:rsid w:val="00467CDA"/>
    <w:rsid w:val="0048343C"/>
    <w:rsid w:val="00483CCF"/>
    <w:rsid w:val="00492440"/>
    <w:rsid w:val="004A04A4"/>
    <w:rsid w:val="004A3FD1"/>
    <w:rsid w:val="004A7F6E"/>
    <w:rsid w:val="004B4A9F"/>
    <w:rsid w:val="004C22C7"/>
    <w:rsid w:val="004C5E08"/>
    <w:rsid w:val="004C5E93"/>
    <w:rsid w:val="004C7783"/>
    <w:rsid w:val="004D198C"/>
    <w:rsid w:val="004D28EB"/>
    <w:rsid w:val="004D29E6"/>
    <w:rsid w:val="004D4D6E"/>
    <w:rsid w:val="004D6B9D"/>
    <w:rsid w:val="004E670F"/>
    <w:rsid w:val="004E7827"/>
    <w:rsid w:val="004F1DCA"/>
    <w:rsid w:val="004F302F"/>
    <w:rsid w:val="004F4091"/>
    <w:rsid w:val="004F7E82"/>
    <w:rsid w:val="00503DEF"/>
    <w:rsid w:val="0050474F"/>
    <w:rsid w:val="00507291"/>
    <w:rsid w:val="00516F4D"/>
    <w:rsid w:val="00530BC3"/>
    <w:rsid w:val="005312DF"/>
    <w:rsid w:val="0053183C"/>
    <w:rsid w:val="00534AE1"/>
    <w:rsid w:val="00535847"/>
    <w:rsid w:val="005374BF"/>
    <w:rsid w:val="005410CE"/>
    <w:rsid w:val="00546DA8"/>
    <w:rsid w:val="00547A22"/>
    <w:rsid w:val="00551520"/>
    <w:rsid w:val="00560CF8"/>
    <w:rsid w:val="005624A1"/>
    <w:rsid w:val="005745A1"/>
    <w:rsid w:val="00580654"/>
    <w:rsid w:val="00580828"/>
    <w:rsid w:val="005810E1"/>
    <w:rsid w:val="005907DA"/>
    <w:rsid w:val="005940A4"/>
    <w:rsid w:val="005A65DA"/>
    <w:rsid w:val="005A7BD4"/>
    <w:rsid w:val="005B4546"/>
    <w:rsid w:val="005B5820"/>
    <w:rsid w:val="005B5917"/>
    <w:rsid w:val="005B5BF8"/>
    <w:rsid w:val="005B7A0B"/>
    <w:rsid w:val="005C0AED"/>
    <w:rsid w:val="005C268B"/>
    <w:rsid w:val="005D4D1B"/>
    <w:rsid w:val="005D531F"/>
    <w:rsid w:val="005E0B42"/>
    <w:rsid w:val="005E1FEF"/>
    <w:rsid w:val="005E7E49"/>
    <w:rsid w:val="005F221E"/>
    <w:rsid w:val="005F3A73"/>
    <w:rsid w:val="00605E33"/>
    <w:rsid w:val="00614A14"/>
    <w:rsid w:val="00615D54"/>
    <w:rsid w:val="006243C8"/>
    <w:rsid w:val="006267BD"/>
    <w:rsid w:val="0062694F"/>
    <w:rsid w:val="00630368"/>
    <w:rsid w:val="006317BC"/>
    <w:rsid w:val="00633472"/>
    <w:rsid w:val="00636F30"/>
    <w:rsid w:val="00637FB6"/>
    <w:rsid w:val="0064733C"/>
    <w:rsid w:val="0065332B"/>
    <w:rsid w:val="00653F43"/>
    <w:rsid w:val="006570C3"/>
    <w:rsid w:val="00660940"/>
    <w:rsid w:val="006722E0"/>
    <w:rsid w:val="00676989"/>
    <w:rsid w:val="00680912"/>
    <w:rsid w:val="00681208"/>
    <w:rsid w:val="006917E3"/>
    <w:rsid w:val="0069241F"/>
    <w:rsid w:val="006938AF"/>
    <w:rsid w:val="006A0C58"/>
    <w:rsid w:val="006A16D9"/>
    <w:rsid w:val="006B0058"/>
    <w:rsid w:val="006B3695"/>
    <w:rsid w:val="006B4FE8"/>
    <w:rsid w:val="006C1948"/>
    <w:rsid w:val="006C1A92"/>
    <w:rsid w:val="006C4476"/>
    <w:rsid w:val="006C55E8"/>
    <w:rsid w:val="006C6BF5"/>
    <w:rsid w:val="006D470A"/>
    <w:rsid w:val="006E0902"/>
    <w:rsid w:val="006E40D1"/>
    <w:rsid w:val="006E5423"/>
    <w:rsid w:val="006E5510"/>
    <w:rsid w:val="006F683D"/>
    <w:rsid w:val="006F7DC3"/>
    <w:rsid w:val="00701E0F"/>
    <w:rsid w:val="007069E0"/>
    <w:rsid w:val="00713426"/>
    <w:rsid w:val="007265A9"/>
    <w:rsid w:val="00727FDA"/>
    <w:rsid w:val="0073053F"/>
    <w:rsid w:val="0073095F"/>
    <w:rsid w:val="007411B8"/>
    <w:rsid w:val="007438BF"/>
    <w:rsid w:val="007478CE"/>
    <w:rsid w:val="00751602"/>
    <w:rsid w:val="007547B0"/>
    <w:rsid w:val="00754E82"/>
    <w:rsid w:val="0075671B"/>
    <w:rsid w:val="00756F96"/>
    <w:rsid w:val="00765A20"/>
    <w:rsid w:val="00766FB7"/>
    <w:rsid w:val="007721D8"/>
    <w:rsid w:val="0077608F"/>
    <w:rsid w:val="00776B46"/>
    <w:rsid w:val="0077794F"/>
    <w:rsid w:val="00777E5A"/>
    <w:rsid w:val="00786491"/>
    <w:rsid w:val="007902B6"/>
    <w:rsid w:val="00790B7F"/>
    <w:rsid w:val="007938DD"/>
    <w:rsid w:val="007A19B4"/>
    <w:rsid w:val="007A2C9C"/>
    <w:rsid w:val="007A5205"/>
    <w:rsid w:val="007A538C"/>
    <w:rsid w:val="007B198E"/>
    <w:rsid w:val="007B1AFC"/>
    <w:rsid w:val="007B6317"/>
    <w:rsid w:val="007B66C6"/>
    <w:rsid w:val="007B7739"/>
    <w:rsid w:val="007C17D3"/>
    <w:rsid w:val="007C1D7D"/>
    <w:rsid w:val="007D6F0F"/>
    <w:rsid w:val="007E097D"/>
    <w:rsid w:val="007E612C"/>
    <w:rsid w:val="007F0DC6"/>
    <w:rsid w:val="007F1DD8"/>
    <w:rsid w:val="007F2F33"/>
    <w:rsid w:val="007F350F"/>
    <w:rsid w:val="007F3C88"/>
    <w:rsid w:val="007F400B"/>
    <w:rsid w:val="007F702E"/>
    <w:rsid w:val="007F78D8"/>
    <w:rsid w:val="008049D9"/>
    <w:rsid w:val="00806BA5"/>
    <w:rsid w:val="00810A0B"/>
    <w:rsid w:val="00817F73"/>
    <w:rsid w:val="00823207"/>
    <w:rsid w:val="00823EB3"/>
    <w:rsid w:val="00824287"/>
    <w:rsid w:val="00824918"/>
    <w:rsid w:val="008271E9"/>
    <w:rsid w:val="008349D8"/>
    <w:rsid w:val="00834D98"/>
    <w:rsid w:val="00840BB4"/>
    <w:rsid w:val="00840C65"/>
    <w:rsid w:val="00843321"/>
    <w:rsid w:val="00856C11"/>
    <w:rsid w:val="00857A0B"/>
    <w:rsid w:val="008609AD"/>
    <w:rsid w:val="00860A28"/>
    <w:rsid w:val="0086723E"/>
    <w:rsid w:val="00872CFC"/>
    <w:rsid w:val="008743A2"/>
    <w:rsid w:val="00875149"/>
    <w:rsid w:val="00875B42"/>
    <w:rsid w:val="008811B9"/>
    <w:rsid w:val="008838D6"/>
    <w:rsid w:val="00884148"/>
    <w:rsid w:val="00885C03"/>
    <w:rsid w:val="0088692A"/>
    <w:rsid w:val="00893E00"/>
    <w:rsid w:val="00893E2D"/>
    <w:rsid w:val="008A2919"/>
    <w:rsid w:val="008B2EE9"/>
    <w:rsid w:val="008B3D57"/>
    <w:rsid w:val="008B75B9"/>
    <w:rsid w:val="008B7A94"/>
    <w:rsid w:val="008C0507"/>
    <w:rsid w:val="008C2B3F"/>
    <w:rsid w:val="008C38D2"/>
    <w:rsid w:val="008C3A4C"/>
    <w:rsid w:val="008D0CDA"/>
    <w:rsid w:val="008E5165"/>
    <w:rsid w:val="008E693E"/>
    <w:rsid w:val="008E7FBC"/>
    <w:rsid w:val="008F10CF"/>
    <w:rsid w:val="008F2F8A"/>
    <w:rsid w:val="008F3939"/>
    <w:rsid w:val="008F558F"/>
    <w:rsid w:val="008F6F6F"/>
    <w:rsid w:val="00902B1B"/>
    <w:rsid w:val="009201D2"/>
    <w:rsid w:val="00921983"/>
    <w:rsid w:val="00925C86"/>
    <w:rsid w:val="0093136B"/>
    <w:rsid w:val="00937034"/>
    <w:rsid w:val="009408D9"/>
    <w:rsid w:val="00943F2A"/>
    <w:rsid w:val="00944C11"/>
    <w:rsid w:val="00947D03"/>
    <w:rsid w:val="009567BC"/>
    <w:rsid w:val="00970DF3"/>
    <w:rsid w:val="00971879"/>
    <w:rsid w:val="00973D46"/>
    <w:rsid w:val="00975DDB"/>
    <w:rsid w:val="009773E3"/>
    <w:rsid w:val="00982E1F"/>
    <w:rsid w:val="00984EFE"/>
    <w:rsid w:val="009866D4"/>
    <w:rsid w:val="00990BC7"/>
    <w:rsid w:val="00993A7C"/>
    <w:rsid w:val="00994E57"/>
    <w:rsid w:val="00995ED5"/>
    <w:rsid w:val="00996E2F"/>
    <w:rsid w:val="00996F0D"/>
    <w:rsid w:val="009A0699"/>
    <w:rsid w:val="009A2956"/>
    <w:rsid w:val="009A3A6C"/>
    <w:rsid w:val="009B57CE"/>
    <w:rsid w:val="009B6A34"/>
    <w:rsid w:val="009C425C"/>
    <w:rsid w:val="009D63C8"/>
    <w:rsid w:val="009E0837"/>
    <w:rsid w:val="009E292D"/>
    <w:rsid w:val="009E49B7"/>
    <w:rsid w:val="009F0BB1"/>
    <w:rsid w:val="009F1D75"/>
    <w:rsid w:val="009F3431"/>
    <w:rsid w:val="009F415D"/>
    <w:rsid w:val="009F64A1"/>
    <w:rsid w:val="00A018BA"/>
    <w:rsid w:val="00A1190C"/>
    <w:rsid w:val="00A14EEE"/>
    <w:rsid w:val="00A15B9C"/>
    <w:rsid w:val="00A15F2A"/>
    <w:rsid w:val="00A167DD"/>
    <w:rsid w:val="00A35F2C"/>
    <w:rsid w:val="00A35F49"/>
    <w:rsid w:val="00A37031"/>
    <w:rsid w:val="00A370D9"/>
    <w:rsid w:val="00A438D1"/>
    <w:rsid w:val="00A4625C"/>
    <w:rsid w:val="00A47B7C"/>
    <w:rsid w:val="00A47F6B"/>
    <w:rsid w:val="00A51171"/>
    <w:rsid w:val="00A532A8"/>
    <w:rsid w:val="00A5342E"/>
    <w:rsid w:val="00A55AB2"/>
    <w:rsid w:val="00A63C16"/>
    <w:rsid w:val="00A646D3"/>
    <w:rsid w:val="00A64711"/>
    <w:rsid w:val="00A767F9"/>
    <w:rsid w:val="00A8179F"/>
    <w:rsid w:val="00A8403D"/>
    <w:rsid w:val="00A84DBF"/>
    <w:rsid w:val="00A85258"/>
    <w:rsid w:val="00A8581A"/>
    <w:rsid w:val="00A90EAE"/>
    <w:rsid w:val="00A919B7"/>
    <w:rsid w:val="00A94636"/>
    <w:rsid w:val="00A953F7"/>
    <w:rsid w:val="00AA2F8A"/>
    <w:rsid w:val="00AA3220"/>
    <w:rsid w:val="00AA324F"/>
    <w:rsid w:val="00AA609E"/>
    <w:rsid w:val="00AA6AB6"/>
    <w:rsid w:val="00AB00DC"/>
    <w:rsid w:val="00AB126F"/>
    <w:rsid w:val="00AB219F"/>
    <w:rsid w:val="00AB3A9F"/>
    <w:rsid w:val="00AB6775"/>
    <w:rsid w:val="00AB72C5"/>
    <w:rsid w:val="00AC28F3"/>
    <w:rsid w:val="00AC4990"/>
    <w:rsid w:val="00AC60FE"/>
    <w:rsid w:val="00AD0D82"/>
    <w:rsid w:val="00AD1D62"/>
    <w:rsid w:val="00AD20F1"/>
    <w:rsid w:val="00AD35AD"/>
    <w:rsid w:val="00AD4625"/>
    <w:rsid w:val="00AD5C2F"/>
    <w:rsid w:val="00AD5CE1"/>
    <w:rsid w:val="00AE2F1D"/>
    <w:rsid w:val="00AF136B"/>
    <w:rsid w:val="00AF14B7"/>
    <w:rsid w:val="00AF7268"/>
    <w:rsid w:val="00B02073"/>
    <w:rsid w:val="00B1620C"/>
    <w:rsid w:val="00B17CDF"/>
    <w:rsid w:val="00B20770"/>
    <w:rsid w:val="00B21BFD"/>
    <w:rsid w:val="00B22945"/>
    <w:rsid w:val="00B26D19"/>
    <w:rsid w:val="00B27A9D"/>
    <w:rsid w:val="00B33109"/>
    <w:rsid w:val="00B34CE8"/>
    <w:rsid w:val="00B34D0D"/>
    <w:rsid w:val="00B3529F"/>
    <w:rsid w:val="00B354BA"/>
    <w:rsid w:val="00B37609"/>
    <w:rsid w:val="00B43D07"/>
    <w:rsid w:val="00B468D8"/>
    <w:rsid w:val="00B479EA"/>
    <w:rsid w:val="00B50995"/>
    <w:rsid w:val="00B5280A"/>
    <w:rsid w:val="00B54D34"/>
    <w:rsid w:val="00B63CAC"/>
    <w:rsid w:val="00B664BE"/>
    <w:rsid w:val="00B67E3A"/>
    <w:rsid w:val="00B73785"/>
    <w:rsid w:val="00B80ABF"/>
    <w:rsid w:val="00B81E2D"/>
    <w:rsid w:val="00B828E5"/>
    <w:rsid w:val="00B84B11"/>
    <w:rsid w:val="00B86711"/>
    <w:rsid w:val="00B91B90"/>
    <w:rsid w:val="00B956D9"/>
    <w:rsid w:val="00B97257"/>
    <w:rsid w:val="00BB4524"/>
    <w:rsid w:val="00BC61AA"/>
    <w:rsid w:val="00BC6A40"/>
    <w:rsid w:val="00BC7BC8"/>
    <w:rsid w:val="00BD46E5"/>
    <w:rsid w:val="00BD5C76"/>
    <w:rsid w:val="00BD7885"/>
    <w:rsid w:val="00BE018B"/>
    <w:rsid w:val="00BE197F"/>
    <w:rsid w:val="00BE3909"/>
    <w:rsid w:val="00C0795B"/>
    <w:rsid w:val="00C10FCD"/>
    <w:rsid w:val="00C14DA5"/>
    <w:rsid w:val="00C15A63"/>
    <w:rsid w:val="00C21966"/>
    <w:rsid w:val="00C27208"/>
    <w:rsid w:val="00C2781F"/>
    <w:rsid w:val="00C35242"/>
    <w:rsid w:val="00C36AD7"/>
    <w:rsid w:val="00C418A5"/>
    <w:rsid w:val="00C547CF"/>
    <w:rsid w:val="00C57078"/>
    <w:rsid w:val="00C67077"/>
    <w:rsid w:val="00C72426"/>
    <w:rsid w:val="00C76462"/>
    <w:rsid w:val="00C802E4"/>
    <w:rsid w:val="00C97EEF"/>
    <w:rsid w:val="00CA284C"/>
    <w:rsid w:val="00CB0ED5"/>
    <w:rsid w:val="00CC10FE"/>
    <w:rsid w:val="00CC271F"/>
    <w:rsid w:val="00CC33FF"/>
    <w:rsid w:val="00CC340F"/>
    <w:rsid w:val="00CC75B5"/>
    <w:rsid w:val="00CD1CAA"/>
    <w:rsid w:val="00CD34FA"/>
    <w:rsid w:val="00CD6EBE"/>
    <w:rsid w:val="00CE640D"/>
    <w:rsid w:val="00CF1533"/>
    <w:rsid w:val="00CF1693"/>
    <w:rsid w:val="00CF3613"/>
    <w:rsid w:val="00CF632D"/>
    <w:rsid w:val="00D01A73"/>
    <w:rsid w:val="00D04C7B"/>
    <w:rsid w:val="00D140B0"/>
    <w:rsid w:val="00D20DA0"/>
    <w:rsid w:val="00D23ED8"/>
    <w:rsid w:val="00D4002B"/>
    <w:rsid w:val="00D441BE"/>
    <w:rsid w:val="00D463BD"/>
    <w:rsid w:val="00D57284"/>
    <w:rsid w:val="00D67148"/>
    <w:rsid w:val="00D712E1"/>
    <w:rsid w:val="00D72F15"/>
    <w:rsid w:val="00D73ED6"/>
    <w:rsid w:val="00D74100"/>
    <w:rsid w:val="00D74484"/>
    <w:rsid w:val="00D7503D"/>
    <w:rsid w:val="00D76BA7"/>
    <w:rsid w:val="00D80D55"/>
    <w:rsid w:val="00D81F7E"/>
    <w:rsid w:val="00D83471"/>
    <w:rsid w:val="00D85583"/>
    <w:rsid w:val="00D952ED"/>
    <w:rsid w:val="00DA6CB5"/>
    <w:rsid w:val="00DA74BE"/>
    <w:rsid w:val="00DA750E"/>
    <w:rsid w:val="00DB45DD"/>
    <w:rsid w:val="00DB4B61"/>
    <w:rsid w:val="00DC62F7"/>
    <w:rsid w:val="00DD02C4"/>
    <w:rsid w:val="00DD24AC"/>
    <w:rsid w:val="00DD3AC1"/>
    <w:rsid w:val="00DE1704"/>
    <w:rsid w:val="00DE297E"/>
    <w:rsid w:val="00DE5035"/>
    <w:rsid w:val="00DF5D02"/>
    <w:rsid w:val="00DF66A7"/>
    <w:rsid w:val="00DF720B"/>
    <w:rsid w:val="00E029FC"/>
    <w:rsid w:val="00E04126"/>
    <w:rsid w:val="00E06C06"/>
    <w:rsid w:val="00E11709"/>
    <w:rsid w:val="00E14F16"/>
    <w:rsid w:val="00E30F44"/>
    <w:rsid w:val="00E31672"/>
    <w:rsid w:val="00E361BF"/>
    <w:rsid w:val="00E37F5F"/>
    <w:rsid w:val="00E40C54"/>
    <w:rsid w:val="00E51859"/>
    <w:rsid w:val="00E5486D"/>
    <w:rsid w:val="00E5772F"/>
    <w:rsid w:val="00E64F5A"/>
    <w:rsid w:val="00E735E1"/>
    <w:rsid w:val="00E816AB"/>
    <w:rsid w:val="00E8288C"/>
    <w:rsid w:val="00E874F1"/>
    <w:rsid w:val="00E948E9"/>
    <w:rsid w:val="00E968A9"/>
    <w:rsid w:val="00EA3E03"/>
    <w:rsid w:val="00EB0519"/>
    <w:rsid w:val="00EB36B3"/>
    <w:rsid w:val="00EB6465"/>
    <w:rsid w:val="00EB64F9"/>
    <w:rsid w:val="00EB670A"/>
    <w:rsid w:val="00EC0F3F"/>
    <w:rsid w:val="00EC5EEA"/>
    <w:rsid w:val="00EC683B"/>
    <w:rsid w:val="00EC74A9"/>
    <w:rsid w:val="00ED630D"/>
    <w:rsid w:val="00ED64CC"/>
    <w:rsid w:val="00EE3283"/>
    <w:rsid w:val="00EE4733"/>
    <w:rsid w:val="00EE639C"/>
    <w:rsid w:val="00EE6D48"/>
    <w:rsid w:val="00EE6FFA"/>
    <w:rsid w:val="00EF1FFC"/>
    <w:rsid w:val="00EF2246"/>
    <w:rsid w:val="00EF743C"/>
    <w:rsid w:val="00F00F41"/>
    <w:rsid w:val="00F039D9"/>
    <w:rsid w:val="00F05F94"/>
    <w:rsid w:val="00F076AA"/>
    <w:rsid w:val="00F07C0D"/>
    <w:rsid w:val="00F14200"/>
    <w:rsid w:val="00F20F4F"/>
    <w:rsid w:val="00F342A4"/>
    <w:rsid w:val="00F35797"/>
    <w:rsid w:val="00F35F9E"/>
    <w:rsid w:val="00F364A5"/>
    <w:rsid w:val="00F37037"/>
    <w:rsid w:val="00F408E5"/>
    <w:rsid w:val="00F44887"/>
    <w:rsid w:val="00F52E68"/>
    <w:rsid w:val="00F537B9"/>
    <w:rsid w:val="00F55B90"/>
    <w:rsid w:val="00F56288"/>
    <w:rsid w:val="00F601AA"/>
    <w:rsid w:val="00F641C4"/>
    <w:rsid w:val="00F651E2"/>
    <w:rsid w:val="00F66940"/>
    <w:rsid w:val="00F70953"/>
    <w:rsid w:val="00F74601"/>
    <w:rsid w:val="00F7504A"/>
    <w:rsid w:val="00F761CD"/>
    <w:rsid w:val="00F77A75"/>
    <w:rsid w:val="00F77BC9"/>
    <w:rsid w:val="00F83043"/>
    <w:rsid w:val="00F83335"/>
    <w:rsid w:val="00F93037"/>
    <w:rsid w:val="00F938C0"/>
    <w:rsid w:val="00FA216A"/>
    <w:rsid w:val="00FA257A"/>
    <w:rsid w:val="00FA5894"/>
    <w:rsid w:val="00FA6B76"/>
    <w:rsid w:val="00FA7554"/>
    <w:rsid w:val="00FA7C40"/>
    <w:rsid w:val="00FB3069"/>
    <w:rsid w:val="00FB45A4"/>
    <w:rsid w:val="00FB4831"/>
    <w:rsid w:val="00FB4FD3"/>
    <w:rsid w:val="00FC2B6E"/>
    <w:rsid w:val="00FC30E5"/>
    <w:rsid w:val="00FD2504"/>
    <w:rsid w:val="00FD5EFA"/>
    <w:rsid w:val="00FD676F"/>
    <w:rsid w:val="00FD79BE"/>
    <w:rsid w:val="00FE7E96"/>
    <w:rsid w:val="00FF3A68"/>
    <w:rsid w:val="00FF4C15"/>
    <w:rsid w:val="00FF60B4"/>
    <w:rsid w:val="00FF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E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DA"/>
    <w:pPr>
      <w:overflowPunct w:val="0"/>
      <w:autoSpaceDE w:val="0"/>
      <w:autoSpaceDN w:val="0"/>
      <w:adjustRightInd w:val="0"/>
      <w:jc w:val="both"/>
      <w:textAlignment w:val="baseline"/>
    </w:pPr>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FDA"/>
    <w:pPr>
      <w:ind w:left="720"/>
    </w:pPr>
  </w:style>
  <w:style w:type="paragraph" w:customStyle="1" w:styleId="05Bullets">
    <w:name w:val="05 Bullets"/>
    <w:rsid w:val="00B27A9D"/>
    <w:pPr>
      <w:numPr>
        <w:numId w:val="2"/>
      </w:numPr>
      <w:spacing w:after="120" w:line="300" w:lineRule="auto"/>
    </w:pPr>
    <w:rPr>
      <w:rFonts w:ascii="Century Gothic" w:eastAsia="Times New Roman" w:hAnsi="Century Gothic"/>
      <w:color w:val="006685"/>
      <w:lang w:eastAsia="en-US"/>
    </w:rPr>
  </w:style>
  <w:style w:type="paragraph" w:customStyle="1" w:styleId="Style05BulletsJustified">
    <w:name w:val="Style 05 Bullets + Justified"/>
    <w:basedOn w:val="05Bullets"/>
    <w:rsid w:val="00B27A9D"/>
    <w:pPr>
      <w:jc w:val="both"/>
    </w:pPr>
  </w:style>
  <w:style w:type="table" w:styleId="TableGrid">
    <w:name w:val="Table Grid"/>
    <w:basedOn w:val="TableNormal"/>
    <w:rsid w:val="0013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04A"/>
    <w:pPr>
      <w:autoSpaceDE w:val="0"/>
      <w:autoSpaceDN w:val="0"/>
      <w:adjustRightInd w:val="0"/>
    </w:pPr>
    <w:rPr>
      <w:rFonts w:cs="Calibri"/>
      <w:color w:val="000000"/>
      <w:sz w:val="24"/>
      <w:szCs w:val="24"/>
      <w:lang w:eastAsia="en-US"/>
    </w:rPr>
  </w:style>
  <w:style w:type="paragraph" w:styleId="CommentText">
    <w:name w:val="annotation text"/>
    <w:basedOn w:val="Normal"/>
    <w:link w:val="CommentTextChar"/>
    <w:uiPriority w:val="99"/>
    <w:unhideWhenUsed/>
    <w:rsid w:val="00CD6EBE"/>
    <w:pPr>
      <w:overflowPunct/>
      <w:autoSpaceDE/>
      <w:autoSpaceDN/>
      <w:adjustRightInd/>
      <w:jc w:val="left"/>
      <w:textAlignment w:val="auto"/>
    </w:pPr>
    <w:rPr>
      <w:sz w:val="20"/>
      <w:lang w:val="x-none"/>
    </w:rPr>
  </w:style>
  <w:style w:type="character" w:customStyle="1" w:styleId="CommentTextChar">
    <w:name w:val="Comment Text Char"/>
    <w:link w:val="CommentText"/>
    <w:uiPriority w:val="99"/>
    <w:rsid w:val="00CD6EBE"/>
    <w:rPr>
      <w:rFonts w:ascii="Arial" w:eastAsia="Times New Roman" w:hAnsi="Arial"/>
      <w:lang w:eastAsia="en-US"/>
    </w:rPr>
  </w:style>
  <w:style w:type="paragraph" w:customStyle="1" w:styleId="GVANumberedBodyText">
    <w:name w:val="GVA Numbered Body Text"/>
    <w:rsid w:val="00CD6EBE"/>
    <w:pPr>
      <w:numPr>
        <w:ilvl w:val="1"/>
        <w:numId w:val="3"/>
      </w:numPr>
      <w:spacing w:after="240" w:line="360" w:lineRule="auto"/>
    </w:pPr>
    <w:rPr>
      <w:rFonts w:ascii="Arial" w:eastAsia="Times New Roman" w:hAnsi="Arial"/>
      <w:lang w:eastAsia="en-US"/>
    </w:rPr>
  </w:style>
  <w:style w:type="paragraph" w:customStyle="1" w:styleId="03HeaderMainBody">
    <w:name w:val="03 Header Main Body"/>
    <w:basedOn w:val="Normal"/>
    <w:rsid w:val="00CD6EBE"/>
    <w:pPr>
      <w:numPr>
        <w:numId w:val="4"/>
      </w:numPr>
      <w:overflowPunct/>
      <w:autoSpaceDE/>
      <w:autoSpaceDN/>
      <w:adjustRightInd/>
      <w:spacing w:before="360" w:after="240" w:line="300" w:lineRule="auto"/>
      <w:jc w:val="left"/>
      <w:textAlignment w:val="auto"/>
    </w:pPr>
    <w:rPr>
      <w:rFonts w:ascii="Century Gothic" w:hAnsi="Century Gothic"/>
      <w:b/>
      <w:bCs/>
      <w:color w:val="006685"/>
      <w:sz w:val="36"/>
    </w:rPr>
  </w:style>
  <w:style w:type="paragraph" w:customStyle="1" w:styleId="GVAMainHeading">
    <w:name w:val="GVA Main Heading"/>
    <w:next w:val="Normal"/>
    <w:rsid w:val="00CD6EBE"/>
    <w:pPr>
      <w:numPr>
        <w:numId w:val="3"/>
      </w:numPr>
      <w:spacing w:before="360" w:after="240" w:line="360" w:lineRule="auto"/>
    </w:pPr>
    <w:rPr>
      <w:rFonts w:ascii="Arial" w:eastAsia="Times New Roman" w:hAnsi="Arial"/>
      <w:caps/>
      <w:color w:val="333333"/>
      <w:sz w:val="36"/>
      <w:lang w:eastAsia="en-US"/>
    </w:rPr>
  </w:style>
  <w:style w:type="character" w:styleId="CommentReference">
    <w:name w:val="annotation reference"/>
    <w:uiPriority w:val="99"/>
    <w:unhideWhenUsed/>
    <w:rsid w:val="00CD6EBE"/>
    <w:rPr>
      <w:sz w:val="16"/>
    </w:rPr>
  </w:style>
  <w:style w:type="paragraph" w:styleId="BalloonText">
    <w:name w:val="Balloon Text"/>
    <w:basedOn w:val="Normal"/>
    <w:link w:val="BalloonTextChar"/>
    <w:uiPriority w:val="99"/>
    <w:semiHidden/>
    <w:unhideWhenUsed/>
    <w:rsid w:val="00CD6EBE"/>
    <w:rPr>
      <w:rFonts w:ascii="Tahoma" w:hAnsi="Tahoma"/>
      <w:sz w:val="16"/>
      <w:szCs w:val="16"/>
      <w:lang w:val="x-none"/>
    </w:rPr>
  </w:style>
  <w:style w:type="character" w:customStyle="1" w:styleId="BalloonTextChar">
    <w:name w:val="Balloon Text Char"/>
    <w:link w:val="BalloonText"/>
    <w:uiPriority w:val="99"/>
    <w:semiHidden/>
    <w:rsid w:val="00CD6EBE"/>
    <w:rPr>
      <w:rFonts w:ascii="Tahoma" w:eastAsia="Times New Roman"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EE4733"/>
    <w:pPr>
      <w:overflowPunct w:val="0"/>
      <w:autoSpaceDE w:val="0"/>
      <w:autoSpaceDN w:val="0"/>
      <w:adjustRightInd w:val="0"/>
      <w:jc w:val="both"/>
      <w:textAlignment w:val="baseline"/>
    </w:pPr>
    <w:rPr>
      <w:b/>
      <w:bCs/>
    </w:rPr>
  </w:style>
  <w:style w:type="character" w:customStyle="1" w:styleId="CommentSubjectChar">
    <w:name w:val="Comment Subject Char"/>
    <w:link w:val="CommentSubject"/>
    <w:uiPriority w:val="99"/>
    <w:semiHidden/>
    <w:rsid w:val="00EE4733"/>
    <w:rPr>
      <w:rFonts w:ascii="Arial" w:eastAsia="Times New Roman" w:hAnsi="Arial"/>
      <w:b/>
      <w:bCs/>
      <w:lang w:eastAsia="en-US"/>
    </w:rPr>
  </w:style>
  <w:style w:type="paragraph" w:styleId="Header">
    <w:name w:val="header"/>
    <w:basedOn w:val="Normal"/>
    <w:link w:val="HeaderChar"/>
    <w:uiPriority w:val="99"/>
    <w:unhideWhenUsed/>
    <w:rsid w:val="00141E49"/>
    <w:pPr>
      <w:tabs>
        <w:tab w:val="center" w:pos="4513"/>
        <w:tab w:val="right" w:pos="9026"/>
      </w:tabs>
    </w:pPr>
    <w:rPr>
      <w:lang w:val="x-none"/>
    </w:rPr>
  </w:style>
  <w:style w:type="character" w:customStyle="1" w:styleId="HeaderChar">
    <w:name w:val="Header Char"/>
    <w:link w:val="Header"/>
    <w:uiPriority w:val="99"/>
    <w:rsid w:val="00141E49"/>
    <w:rPr>
      <w:rFonts w:ascii="Arial" w:eastAsia="Times New Roman" w:hAnsi="Arial"/>
      <w:sz w:val="24"/>
      <w:lang w:eastAsia="en-US"/>
    </w:rPr>
  </w:style>
  <w:style w:type="paragraph" w:styleId="Footer">
    <w:name w:val="footer"/>
    <w:basedOn w:val="Normal"/>
    <w:link w:val="FooterChar"/>
    <w:uiPriority w:val="99"/>
    <w:unhideWhenUsed/>
    <w:rsid w:val="00141E49"/>
    <w:pPr>
      <w:tabs>
        <w:tab w:val="center" w:pos="4513"/>
        <w:tab w:val="right" w:pos="9026"/>
      </w:tabs>
    </w:pPr>
    <w:rPr>
      <w:lang w:val="x-none"/>
    </w:rPr>
  </w:style>
  <w:style w:type="character" w:customStyle="1" w:styleId="FooterChar">
    <w:name w:val="Footer Char"/>
    <w:link w:val="Footer"/>
    <w:uiPriority w:val="99"/>
    <w:rsid w:val="00141E49"/>
    <w:rPr>
      <w:rFonts w:ascii="Arial" w:eastAsia="Times New Roman" w:hAnsi="Arial"/>
      <w:sz w:val="24"/>
      <w:lang w:eastAsia="en-US"/>
    </w:rPr>
  </w:style>
  <w:style w:type="paragraph" w:styleId="FootnoteText">
    <w:name w:val="footnote text"/>
    <w:basedOn w:val="Normal"/>
    <w:link w:val="FootnoteTextChar"/>
    <w:uiPriority w:val="99"/>
    <w:semiHidden/>
    <w:unhideWhenUsed/>
    <w:rsid w:val="00843321"/>
    <w:rPr>
      <w:sz w:val="20"/>
      <w:lang w:val="x-none"/>
    </w:rPr>
  </w:style>
  <w:style w:type="character" w:customStyle="1" w:styleId="FootnoteTextChar">
    <w:name w:val="Footnote Text Char"/>
    <w:link w:val="FootnoteText"/>
    <w:uiPriority w:val="99"/>
    <w:semiHidden/>
    <w:rsid w:val="00843321"/>
    <w:rPr>
      <w:rFonts w:ascii="Arial" w:eastAsia="Times New Roman" w:hAnsi="Arial"/>
      <w:lang w:eastAsia="en-US"/>
    </w:rPr>
  </w:style>
  <w:style w:type="character" w:styleId="FootnoteReference">
    <w:name w:val="footnote reference"/>
    <w:uiPriority w:val="99"/>
    <w:semiHidden/>
    <w:unhideWhenUsed/>
    <w:rsid w:val="00843321"/>
    <w:rPr>
      <w:vertAlign w:val="superscript"/>
    </w:rPr>
  </w:style>
  <w:style w:type="paragraph" w:styleId="Revision">
    <w:name w:val="Revision"/>
    <w:hidden/>
    <w:uiPriority w:val="99"/>
    <w:semiHidden/>
    <w:rsid w:val="00A8179F"/>
    <w:rPr>
      <w:rFonts w:ascii="Arial" w:eastAsia="Times New Roman" w:hAnsi="Arial"/>
      <w:sz w:val="24"/>
      <w:lang w:eastAsia="en-US"/>
    </w:rPr>
  </w:style>
  <w:style w:type="character" w:styleId="Hyperlink">
    <w:name w:val="Hyperlink"/>
    <w:uiPriority w:val="99"/>
    <w:unhideWhenUsed/>
    <w:rsid w:val="007547B0"/>
    <w:rPr>
      <w:color w:val="0000FF"/>
      <w:u w:val="single"/>
    </w:rPr>
  </w:style>
  <w:style w:type="paragraph" w:customStyle="1" w:styleId="Level1">
    <w:name w:val="Level 1"/>
    <w:basedOn w:val="Normal"/>
    <w:qFormat/>
    <w:rsid w:val="0028730C"/>
    <w:pPr>
      <w:numPr>
        <w:numId w:val="5"/>
      </w:numPr>
      <w:overflowPunct/>
      <w:autoSpaceDE/>
      <w:autoSpaceDN/>
      <w:adjustRightInd/>
      <w:spacing w:after="240" w:line="312" w:lineRule="auto"/>
      <w:textAlignment w:val="auto"/>
      <w:outlineLvl w:val="0"/>
    </w:pPr>
    <w:rPr>
      <w:rFonts w:ascii="Verdana" w:hAnsi="Verdana"/>
      <w:sz w:val="20"/>
      <w:lang w:eastAsia="en-GB"/>
    </w:rPr>
  </w:style>
  <w:style w:type="paragraph" w:customStyle="1" w:styleId="Level2">
    <w:name w:val="Level 2"/>
    <w:basedOn w:val="Normal"/>
    <w:qFormat/>
    <w:rsid w:val="0028730C"/>
    <w:pPr>
      <w:numPr>
        <w:ilvl w:val="1"/>
        <w:numId w:val="5"/>
      </w:numPr>
      <w:overflowPunct/>
      <w:autoSpaceDE/>
      <w:autoSpaceDN/>
      <w:adjustRightInd/>
      <w:spacing w:after="240" w:line="312" w:lineRule="auto"/>
      <w:textAlignment w:val="auto"/>
      <w:outlineLvl w:val="1"/>
    </w:pPr>
    <w:rPr>
      <w:rFonts w:ascii="Verdana" w:hAnsi="Verdana"/>
      <w:sz w:val="20"/>
      <w:lang w:eastAsia="en-GB"/>
    </w:rPr>
  </w:style>
  <w:style w:type="paragraph" w:customStyle="1" w:styleId="Level3">
    <w:name w:val="Level 3"/>
    <w:basedOn w:val="Normal"/>
    <w:qFormat/>
    <w:rsid w:val="0028730C"/>
    <w:pPr>
      <w:numPr>
        <w:ilvl w:val="2"/>
        <w:numId w:val="5"/>
      </w:numPr>
      <w:overflowPunct/>
      <w:autoSpaceDE/>
      <w:autoSpaceDN/>
      <w:adjustRightInd/>
      <w:spacing w:after="240" w:line="312" w:lineRule="auto"/>
      <w:textAlignment w:val="auto"/>
      <w:outlineLvl w:val="2"/>
    </w:pPr>
    <w:rPr>
      <w:rFonts w:ascii="Verdana" w:hAnsi="Verdana"/>
      <w:sz w:val="20"/>
      <w:lang w:eastAsia="en-GB"/>
    </w:rPr>
  </w:style>
  <w:style w:type="paragraph" w:customStyle="1" w:styleId="Level4">
    <w:name w:val="Level 4"/>
    <w:basedOn w:val="Normal"/>
    <w:qFormat/>
    <w:rsid w:val="0028730C"/>
    <w:pPr>
      <w:numPr>
        <w:ilvl w:val="3"/>
        <w:numId w:val="5"/>
      </w:numPr>
      <w:overflowPunct/>
      <w:autoSpaceDE/>
      <w:autoSpaceDN/>
      <w:adjustRightInd/>
      <w:spacing w:after="240" w:line="312" w:lineRule="auto"/>
      <w:textAlignment w:val="auto"/>
      <w:outlineLvl w:val="3"/>
    </w:pPr>
    <w:rPr>
      <w:rFonts w:ascii="Verdana" w:hAnsi="Verdana"/>
      <w:sz w:val="20"/>
      <w:lang w:eastAsia="en-GB"/>
    </w:rPr>
  </w:style>
  <w:style w:type="paragraph" w:customStyle="1" w:styleId="Level5">
    <w:name w:val="Level 5"/>
    <w:basedOn w:val="Normal"/>
    <w:qFormat/>
    <w:rsid w:val="0028730C"/>
    <w:pPr>
      <w:numPr>
        <w:ilvl w:val="4"/>
        <w:numId w:val="5"/>
      </w:numPr>
      <w:overflowPunct/>
      <w:autoSpaceDE/>
      <w:autoSpaceDN/>
      <w:adjustRightInd/>
      <w:spacing w:after="240" w:line="312" w:lineRule="auto"/>
      <w:textAlignment w:val="auto"/>
      <w:outlineLvl w:val="4"/>
    </w:pPr>
    <w:rPr>
      <w:rFonts w:ascii="Verdana" w:hAnsi="Verdana"/>
      <w:sz w:val="20"/>
      <w:lang w:eastAsia="en-GB"/>
    </w:rPr>
  </w:style>
  <w:style w:type="character" w:customStyle="1" w:styleId="apple-converted-space">
    <w:name w:val="apple-converted-space"/>
    <w:basedOn w:val="DefaultParagraphFont"/>
    <w:rsid w:val="006F7DC3"/>
  </w:style>
  <w:style w:type="paragraph" w:customStyle="1" w:styleId="TLTLevel1">
    <w:name w:val="TLT Level 1"/>
    <w:basedOn w:val="Normal"/>
    <w:next w:val="Normal"/>
    <w:qFormat/>
    <w:rsid w:val="00C72426"/>
    <w:pPr>
      <w:numPr>
        <w:numId w:val="40"/>
      </w:numPr>
      <w:tabs>
        <w:tab w:val="left" w:pos="720"/>
      </w:tabs>
      <w:overflowPunct/>
      <w:autoSpaceDE/>
      <w:autoSpaceDN/>
      <w:adjustRightInd/>
      <w:spacing w:before="400" w:after="200"/>
      <w:jc w:val="left"/>
      <w:textAlignment w:val="auto"/>
    </w:pPr>
    <w:rPr>
      <w:b/>
      <w:sz w:val="20"/>
      <w:szCs w:val="24"/>
      <w:lang w:eastAsia="en-GB"/>
    </w:rPr>
  </w:style>
  <w:style w:type="paragraph" w:customStyle="1" w:styleId="TLTLevel2">
    <w:name w:val="TLT Level 2"/>
    <w:basedOn w:val="TLTLevel1"/>
    <w:next w:val="Normal"/>
    <w:link w:val="TLTLevel2Char"/>
    <w:rsid w:val="00C72426"/>
    <w:pPr>
      <w:numPr>
        <w:ilvl w:val="1"/>
      </w:numPr>
      <w:spacing w:before="100"/>
    </w:pPr>
    <w:rPr>
      <w:b w:val="0"/>
    </w:rPr>
  </w:style>
  <w:style w:type="paragraph" w:customStyle="1" w:styleId="TLTLevel3">
    <w:name w:val="TLT Level 3"/>
    <w:basedOn w:val="TLTLevel2"/>
    <w:next w:val="Normal"/>
    <w:rsid w:val="00C72426"/>
    <w:pPr>
      <w:numPr>
        <w:ilvl w:val="2"/>
      </w:numPr>
      <w:tabs>
        <w:tab w:val="left" w:pos="1803"/>
      </w:tabs>
      <w:ind w:left="1429" w:hanging="720"/>
    </w:pPr>
  </w:style>
  <w:style w:type="paragraph" w:customStyle="1" w:styleId="TLTLevel4">
    <w:name w:val="TLT Level 4"/>
    <w:basedOn w:val="TLTLevel3"/>
    <w:next w:val="Normal"/>
    <w:rsid w:val="00C72426"/>
    <w:pPr>
      <w:numPr>
        <w:ilvl w:val="3"/>
      </w:numPr>
      <w:ind w:left="1789" w:hanging="1080"/>
    </w:pPr>
  </w:style>
  <w:style w:type="paragraph" w:customStyle="1" w:styleId="TLTLevel5">
    <w:name w:val="TLT Level 5"/>
    <w:basedOn w:val="TLTLevel4"/>
    <w:next w:val="Normal"/>
    <w:rsid w:val="00C72426"/>
    <w:pPr>
      <w:numPr>
        <w:ilvl w:val="4"/>
      </w:numPr>
      <w:tabs>
        <w:tab w:val="left" w:pos="2523"/>
      </w:tabs>
      <w:ind w:left="2149" w:hanging="1440"/>
    </w:pPr>
  </w:style>
  <w:style w:type="numbering" w:customStyle="1" w:styleId="Level">
    <w:name w:val="Level"/>
    <w:uiPriority w:val="99"/>
    <w:rsid w:val="00C72426"/>
    <w:pPr>
      <w:numPr>
        <w:numId w:val="39"/>
      </w:numPr>
    </w:pPr>
  </w:style>
  <w:style w:type="character" w:customStyle="1" w:styleId="TLTLevel2Char">
    <w:name w:val="TLT Level 2 Char"/>
    <w:basedOn w:val="DefaultParagraphFont"/>
    <w:link w:val="TLTLevel2"/>
    <w:rsid w:val="00C72426"/>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DA"/>
    <w:pPr>
      <w:overflowPunct w:val="0"/>
      <w:autoSpaceDE w:val="0"/>
      <w:autoSpaceDN w:val="0"/>
      <w:adjustRightInd w:val="0"/>
      <w:jc w:val="both"/>
      <w:textAlignment w:val="baseline"/>
    </w:pPr>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FDA"/>
    <w:pPr>
      <w:ind w:left="720"/>
    </w:pPr>
  </w:style>
  <w:style w:type="paragraph" w:customStyle="1" w:styleId="05Bullets">
    <w:name w:val="05 Bullets"/>
    <w:rsid w:val="00B27A9D"/>
    <w:pPr>
      <w:numPr>
        <w:numId w:val="2"/>
      </w:numPr>
      <w:spacing w:after="120" w:line="300" w:lineRule="auto"/>
    </w:pPr>
    <w:rPr>
      <w:rFonts w:ascii="Century Gothic" w:eastAsia="Times New Roman" w:hAnsi="Century Gothic"/>
      <w:color w:val="006685"/>
      <w:lang w:eastAsia="en-US"/>
    </w:rPr>
  </w:style>
  <w:style w:type="paragraph" w:customStyle="1" w:styleId="Style05BulletsJustified">
    <w:name w:val="Style 05 Bullets + Justified"/>
    <w:basedOn w:val="05Bullets"/>
    <w:rsid w:val="00B27A9D"/>
    <w:pPr>
      <w:jc w:val="both"/>
    </w:pPr>
  </w:style>
  <w:style w:type="table" w:styleId="TableGrid">
    <w:name w:val="Table Grid"/>
    <w:basedOn w:val="TableNormal"/>
    <w:rsid w:val="0013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04A"/>
    <w:pPr>
      <w:autoSpaceDE w:val="0"/>
      <w:autoSpaceDN w:val="0"/>
      <w:adjustRightInd w:val="0"/>
    </w:pPr>
    <w:rPr>
      <w:rFonts w:cs="Calibri"/>
      <w:color w:val="000000"/>
      <w:sz w:val="24"/>
      <w:szCs w:val="24"/>
      <w:lang w:eastAsia="en-US"/>
    </w:rPr>
  </w:style>
  <w:style w:type="paragraph" w:styleId="CommentText">
    <w:name w:val="annotation text"/>
    <w:basedOn w:val="Normal"/>
    <w:link w:val="CommentTextChar"/>
    <w:uiPriority w:val="99"/>
    <w:unhideWhenUsed/>
    <w:rsid w:val="00CD6EBE"/>
    <w:pPr>
      <w:overflowPunct/>
      <w:autoSpaceDE/>
      <w:autoSpaceDN/>
      <w:adjustRightInd/>
      <w:jc w:val="left"/>
      <w:textAlignment w:val="auto"/>
    </w:pPr>
    <w:rPr>
      <w:sz w:val="20"/>
      <w:lang w:val="x-none"/>
    </w:rPr>
  </w:style>
  <w:style w:type="character" w:customStyle="1" w:styleId="CommentTextChar">
    <w:name w:val="Comment Text Char"/>
    <w:link w:val="CommentText"/>
    <w:uiPriority w:val="99"/>
    <w:rsid w:val="00CD6EBE"/>
    <w:rPr>
      <w:rFonts w:ascii="Arial" w:eastAsia="Times New Roman" w:hAnsi="Arial"/>
      <w:lang w:eastAsia="en-US"/>
    </w:rPr>
  </w:style>
  <w:style w:type="paragraph" w:customStyle="1" w:styleId="GVANumberedBodyText">
    <w:name w:val="GVA Numbered Body Text"/>
    <w:rsid w:val="00CD6EBE"/>
    <w:pPr>
      <w:numPr>
        <w:ilvl w:val="1"/>
        <w:numId w:val="3"/>
      </w:numPr>
      <w:spacing w:after="240" w:line="360" w:lineRule="auto"/>
    </w:pPr>
    <w:rPr>
      <w:rFonts w:ascii="Arial" w:eastAsia="Times New Roman" w:hAnsi="Arial"/>
      <w:lang w:eastAsia="en-US"/>
    </w:rPr>
  </w:style>
  <w:style w:type="paragraph" w:customStyle="1" w:styleId="03HeaderMainBody">
    <w:name w:val="03 Header Main Body"/>
    <w:basedOn w:val="Normal"/>
    <w:rsid w:val="00CD6EBE"/>
    <w:pPr>
      <w:numPr>
        <w:numId w:val="4"/>
      </w:numPr>
      <w:overflowPunct/>
      <w:autoSpaceDE/>
      <w:autoSpaceDN/>
      <w:adjustRightInd/>
      <w:spacing w:before="360" w:after="240" w:line="300" w:lineRule="auto"/>
      <w:jc w:val="left"/>
      <w:textAlignment w:val="auto"/>
    </w:pPr>
    <w:rPr>
      <w:rFonts w:ascii="Century Gothic" w:hAnsi="Century Gothic"/>
      <w:b/>
      <w:bCs/>
      <w:color w:val="006685"/>
      <w:sz w:val="36"/>
    </w:rPr>
  </w:style>
  <w:style w:type="paragraph" w:customStyle="1" w:styleId="GVAMainHeading">
    <w:name w:val="GVA Main Heading"/>
    <w:next w:val="Normal"/>
    <w:rsid w:val="00CD6EBE"/>
    <w:pPr>
      <w:numPr>
        <w:numId w:val="3"/>
      </w:numPr>
      <w:spacing w:before="360" w:after="240" w:line="360" w:lineRule="auto"/>
    </w:pPr>
    <w:rPr>
      <w:rFonts w:ascii="Arial" w:eastAsia="Times New Roman" w:hAnsi="Arial"/>
      <w:caps/>
      <w:color w:val="333333"/>
      <w:sz w:val="36"/>
      <w:lang w:eastAsia="en-US"/>
    </w:rPr>
  </w:style>
  <w:style w:type="character" w:styleId="CommentReference">
    <w:name w:val="annotation reference"/>
    <w:uiPriority w:val="99"/>
    <w:unhideWhenUsed/>
    <w:rsid w:val="00CD6EBE"/>
    <w:rPr>
      <w:sz w:val="16"/>
    </w:rPr>
  </w:style>
  <w:style w:type="paragraph" w:styleId="BalloonText">
    <w:name w:val="Balloon Text"/>
    <w:basedOn w:val="Normal"/>
    <w:link w:val="BalloonTextChar"/>
    <w:uiPriority w:val="99"/>
    <w:semiHidden/>
    <w:unhideWhenUsed/>
    <w:rsid w:val="00CD6EBE"/>
    <w:rPr>
      <w:rFonts w:ascii="Tahoma" w:hAnsi="Tahoma"/>
      <w:sz w:val="16"/>
      <w:szCs w:val="16"/>
      <w:lang w:val="x-none"/>
    </w:rPr>
  </w:style>
  <w:style w:type="character" w:customStyle="1" w:styleId="BalloonTextChar">
    <w:name w:val="Balloon Text Char"/>
    <w:link w:val="BalloonText"/>
    <w:uiPriority w:val="99"/>
    <w:semiHidden/>
    <w:rsid w:val="00CD6EBE"/>
    <w:rPr>
      <w:rFonts w:ascii="Tahoma" w:eastAsia="Times New Roman"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EE4733"/>
    <w:pPr>
      <w:overflowPunct w:val="0"/>
      <w:autoSpaceDE w:val="0"/>
      <w:autoSpaceDN w:val="0"/>
      <w:adjustRightInd w:val="0"/>
      <w:jc w:val="both"/>
      <w:textAlignment w:val="baseline"/>
    </w:pPr>
    <w:rPr>
      <w:b/>
      <w:bCs/>
    </w:rPr>
  </w:style>
  <w:style w:type="character" w:customStyle="1" w:styleId="CommentSubjectChar">
    <w:name w:val="Comment Subject Char"/>
    <w:link w:val="CommentSubject"/>
    <w:uiPriority w:val="99"/>
    <w:semiHidden/>
    <w:rsid w:val="00EE4733"/>
    <w:rPr>
      <w:rFonts w:ascii="Arial" w:eastAsia="Times New Roman" w:hAnsi="Arial"/>
      <w:b/>
      <w:bCs/>
      <w:lang w:eastAsia="en-US"/>
    </w:rPr>
  </w:style>
  <w:style w:type="paragraph" w:styleId="Header">
    <w:name w:val="header"/>
    <w:basedOn w:val="Normal"/>
    <w:link w:val="HeaderChar"/>
    <w:uiPriority w:val="99"/>
    <w:unhideWhenUsed/>
    <w:rsid w:val="00141E49"/>
    <w:pPr>
      <w:tabs>
        <w:tab w:val="center" w:pos="4513"/>
        <w:tab w:val="right" w:pos="9026"/>
      </w:tabs>
    </w:pPr>
    <w:rPr>
      <w:lang w:val="x-none"/>
    </w:rPr>
  </w:style>
  <w:style w:type="character" w:customStyle="1" w:styleId="HeaderChar">
    <w:name w:val="Header Char"/>
    <w:link w:val="Header"/>
    <w:uiPriority w:val="99"/>
    <w:rsid w:val="00141E49"/>
    <w:rPr>
      <w:rFonts w:ascii="Arial" w:eastAsia="Times New Roman" w:hAnsi="Arial"/>
      <w:sz w:val="24"/>
      <w:lang w:eastAsia="en-US"/>
    </w:rPr>
  </w:style>
  <w:style w:type="paragraph" w:styleId="Footer">
    <w:name w:val="footer"/>
    <w:basedOn w:val="Normal"/>
    <w:link w:val="FooterChar"/>
    <w:uiPriority w:val="99"/>
    <w:unhideWhenUsed/>
    <w:rsid w:val="00141E49"/>
    <w:pPr>
      <w:tabs>
        <w:tab w:val="center" w:pos="4513"/>
        <w:tab w:val="right" w:pos="9026"/>
      </w:tabs>
    </w:pPr>
    <w:rPr>
      <w:lang w:val="x-none"/>
    </w:rPr>
  </w:style>
  <w:style w:type="character" w:customStyle="1" w:styleId="FooterChar">
    <w:name w:val="Footer Char"/>
    <w:link w:val="Footer"/>
    <w:uiPriority w:val="99"/>
    <w:rsid w:val="00141E49"/>
    <w:rPr>
      <w:rFonts w:ascii="Arial" w:eastAsia="Times New Roman" w:hAnsi="Arial"/>
      <w:sz w:val="24"/>
      <w:lang w:eastAsia="en-US"/>
    </w:rPr>
  </w:style>
  <w:style w:type="paragraph" w:styleId="FootnoteText">
    <w:name w:val="footnote text"/>
    <w:basedOn w:val="Normal"/>
    <w:link w:val="FootnoteTextChar"/>
    <w:uiPriority w:val="99"/>
    <w:semiHidden/>
    <w:unhideWhenUsed/>
    <w:rsid w:val="00843321"/>
    <w:rPr>
      <w:sz w:val="20"/>
      <w:lang w:val="x-none"/>
    </w:rPr>
  </w:style>
  <w:style w:type="character" w:customStyle="1" w:styleId="FootnoteTextChar">
    <w:name w:val="Footnote Text Char"/>
    <w:link w:val="FootnoteText"/>
    <w:uiPriority w:val="99"/>
    <w:semiHidden/>
    <w:rsid w:val="00843321"/>
    <w:rPr>
      <w:rFonts w:ascii="Arial" w:eastAsia="Times New Roman" w:hAnsi="Arial"/>
      <w:lang w:eastAsia="en-US"/>
    </w:rPr>
  </w:style>
  <w:style w:type="character" w:styleId="FootnoteReference">
    <w:name w:val="footnote reference"/>
    <w:uiPriority w:val="99"/>
    <w:semiHidden/>
    <w:unhideWhenUsed/>
    <w:rsid w:val="00843321"/>
    <w:rPr>
      <w:vertAlign w:val="superscript"/>
    </w:rPr>
  </w:style>
  <w:style w:type="paragraph" w:styleId="Revision">
    <w:name w:val="Revision"/>
    <w:hidden/>
    <w:uiPriority w:val="99"/>
    <w:semiHidden/>
    <w:rsid w:val="00A8179F"/>
    <w:rPr>
      <w:rFonts w:ascii="Arial" w:eastAsia="Times New Roman" w:hAnsi="Arial"/>
      <w:sz w:val="24"/>
      <w:lang w:eastAsia="en-US"/>
    </w:rPr>
  </w:style>
  <w:style w:type="character" w:styleId="Hyperlink">
    <w:name w:val="Hyperlink"/>
    <w:uiPriority w:val="99"/>
    <w:unhideWhenUsed/>
    <w:rsid w:val="007547B0"/>
    <w:rPr>
      <w:color w:val="0000FF"/>
      <w:u w:val="single"/>
    </w:rPr>
  </w:style>
  <w:style w:type="paragraph" w:customStyle="1" w:styleId="Level1">
    <w:name w:val="Level 1"/>
    <w:basedOn w:val="Normal"/>
    <w:qFormat/>
    <w:rsid w:val="0028730C"/>
    <w:pPr>
      <w:numPr>
        <w:numId w:val="5"/>
      </w:numPr>
      <w:overflowPunct/>
      <w:autoSpaceDE/>
      <w:autoSpaceDN/>
      <w:adjustRightInd/>
      <w:spacing w:after="240" w:line="312" w:lineRule="auto"/>
      <w:textAlignment w:val="auto"/>
      <w:outlineLvl w:val="0"/>
    </w:pPr>
    <w:rPr>
      <w:rFonts w:ascii="Verdana" w:hAnsi="Verdana"/>
      <w:sz w:val="20"/>
      <w:lang w:eastAsia="en-GB"/>
    </w:rPr>
  </w:style>
  <w:style w:type="paragraph" w:customStyle="1" w:styleId="Level2">
    <w:name w:val="Level 2"/>
    <w:basedOn w:val="Normal"/>
    <w:qFormat/>
    <w:rsid w:val="0028730C"/>
    <w:pPr>
      <w:numPr>
        <w:ilvl w:val="1"/>
        <w:numId w:val="5"/>
      </w:numPr>
      <w:overflowPunct/>
      <w:autoSpaceDE/>
      <w:autoSpaceDN/>
      <w:adjustRightInd/>
      <w:spacing w:after="240" w:line="312" w:lineRule="auto"/>
      <w:textAlignment w:val="auto"/>
      <w:outlineLvl w:val="1"/>
    </w:pPr>
    <w:rPr>
      <w:rFonts w:ascii="Verdana" w:hAnsi="Verdana"/>
      <w:sz w:val="20"/>
      <w:lang w:eastAsia="en-GB"/>
    </w:rPr>
  </w:style>
  <w:style w:type="paragraph" w:customStyle="1" w:styleId="Level3">
    <w:name w:val="Level 3"/>
    <w:basedOn w:val="Normal"/>
    <w:qFormat/>
    <w:rsid w:val="0028730C"/>
    <w:pPr>
      <w:numPr>
        <w:ilvl w:val="2"/>
        <w:numId w:val="5"/>
      </w:numPr>
      <w:overflowPunct/>
      <w:autoSpaceDE/>
      <w:autoSpaceDN/>
      <w:adjustRightInd/>
      <w:spacing w:after="240" w:line="312" w:lineRule="auto"/>
      <w:textAlignment w:val="auto"/>
      <w:outlineLvl w:val="2"/>
    </w:pPr>
    <w:rPr>
      <w:rFonts w:ascii="Verdana" w:hAnsi="Verdana"/>
      <w:sz w:val="20"/>
      <w:lang w:eastAsia="en-GB"/>
    </w:rPr>
  </w:style>
  <w:style w:type="paragraph" w:customStyle="1" w:styleId="Level4">
    <w:name w:val="Level 4"/>
    <w:basedOn w:val="Normal"/>
    <w:qFormat/>
    <w:rsid w:val="0028730C"/>
    <w:pPr>
      <w:numPr>
        <w:ilvl w:val="3"/>
        <w:numId w:val="5"/>
      </w:numPr>
      <w:overflowPunct/>
      <w:autoSpaceDE/>
      <w:autoSpaceDN/>
      <w:adjustRightInd/>
      <w:spacing w:after="240" w:line="312" w:lineRule="auto"/>
      <w:textAlignment w:val="auto"/>
      <w:outlineLvl w:val="3"/>
    </w:pPr>
    <w:rPr>
      <w:rFonts w:ascii="Verdana" w:hAnsi="Verdana"/>
      <w:sz w:val="20"/>
      <w:lang w:eastAsia="en-GB"/>
    </w:rPr>
  </w:style>
  <w:style w:type="paragraph" w:customStyle="1" w:styleId="Level5">
    <w:name w:val="Level 5"/>
    <w:basedOn w:val="Normal"/>
    <w:qFormat/>
    <w:rsid w:val="0028730C"/>
    <w:pPr>
      <w:numPr>
        <w:ilvl w:val="4"/>
        <w:numId w:val="5"/>
      </w:numPr>
      <w:overflowPunct/>
      <w:autoSpaceDE/>
      <w:autoSpaceDN/>
      <w:adjustRightInd/>
      <w:spacing w:after="240" w:line="312" w:lineRule="auto"/>
      <w:textAlignment w:val="auto"/>
      <w:outlineLvl w:val="4"/>
    </w:pPr>
    <w:rPr>
      <w:rFonts w:ascii="Verdana" w:hAnsi="Verdana"/>
      <w:sz w:val="20"/>
      <w:lang w:eastAsia="en-GB"/>
    </w:rPr>
  </w:style>
  <w:style w:type="character" w:customStyle="1" w:styleId="apple-converted-space">
    <w:name w:val="apple-converted-space"/>
    <w:basedOn w:val="DefaultParagraphFont"/>
    <w:rsid w:val="006F7DC3"/>
  </w:style>
  <w:style w:type="paragraph" w:customStyle="1" w:styleId="TLTLevel1">
    <w:name w:val="TLT Level 1"/>
    <w:basedOn w:val="Normal"/>
    <w:next w:val="Normal"/>
    <w:qFormat/>
    <w:rsid w:val="00C72426"/>
    <w:pPr>
      <w:numPr>
        <w:numId w:val="40"/>
      </w:numPr>
      <w:tabs>
        <w:tab w:val="left" w:pos="720"/>
      </w:tabs>
      <w:overflowPunct/>
      <w:autoSpaceDE/>
      <w:autoSpaceDN/>
      <w:adjustRightInd/>
      <w:spacing w:before="400" w:after="200"/>
      <w:jc w:val="left"/>
      <w:textAlignment w:val="auto"/>
    </w:pPr>
    <w:rPr>
      <w:b/>
      <w:sz w:val="20"/>
      <w:szCs w:val="24"/>
      <w:lang w:eastAsia="en-GB"/>
    </w:rPr>
  </w:style>
  <w:style w:type="paragraph" w:customStyle="1" w:styleId="TLTLevel2">
    <w:name w:val="TLT Level 2"/>
    <w:basedOn w:val="TLTLevel1"/>
    <w:next w:val="Normal"/>
    <w:link w:val="TLTLevel2Char"/>
    <w:rsid w:val="00C72426"/>
    <w:pPr>
      <w:numPr>
        <w:ilvl w:val="1"/>
      </w:numPr>
      <w:spacing w:before="100"/>
    </w:pPr>
    <w:rPr>
      <w:b w:val="0"/>
    </w:rPr>
  </w:style>
  <w:style w:type="paragraph" w:customStyle="1" w:styleId="TLTLevel3">
    <w:name w:val="TLT Level 3"/>
    <w:basedOn w:val="TLTLevel2"/>
    <w:next w:val="Normal"/>
    <w:rsid w:val="00C72426"/>
    <w:pPr>
      <w:numPr>
        <w:ilvl w:val="2"/>
      </w:numPr>
      <w:tabs>
        <w:tab w:val="left" w:pos="1803"/>
      </w:tabs>
      <w:ind w:left="1429" w:hanging="720"/>
    </w:pPr>
  </w:style>
  <w:style w:type="paragraph" w:customStyle="1" w:styleId="TLTLevel4">
    <w:name w:val="TLT Level 4"/>
    <w:basedOn w:val="TLTLevel3"/>
    <w:next w:val="Normal"/>
    <w:rsid w:val="00C72426"/>
    <w:pPr>
      <w:numPr>
        <w:ilvl w:val="3"/>
      </w:numPr>
      <w:ind w:left="1789" w:hanging="1080"/>
    </w:pPr>
  </w:style>
  <w:style w:type="paragraph" w:customStyle="1" w:styleId="TLTLevel5">
    <w:name w:val="TLT Level 5"/>
    <w:basedOn w:val="TLTLevel4"/>
    <w:next w:val="Normal"/>
    <w:rsid w:val="00C72426"/>
    <w:pPr>
      <w:numPr>
        <w:ilvl w:val="4"/>
      </w:numPr>
      <w:tabs>
        <w:tab w:val="left" w:pos="2523"/>
      </w:tabs>
      <w:ind w:left="2149" w:hanging="1440"/>
    </w:pPr>
  </w:style>
  <w:style w:type="numbering" w:customStyle="1" w:styleId="Level">
    <w:name w:val="Level"/>
    <w:uiPriority w:val="99"/>
    <w:rsid w:val="00C72426"/>
    <w:pPr>
      <w:numPr>
        <w:numId w:val="39"/>
      </w:numPr>
    </w:pPr>
  </w:style>
  <w:style w:type="character" w:customStyle="1" w:styleId="TLTLevel2Char">
    <w:name w:val="TLT Level 2 Char"/>
    <w:basedOn w:val="DefaultParagraphFont"/>
    <w:link w:val="TLTLevel2"/>
    <w:rsid w:val="00C72426"/>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6903">
      <w:bodyDiv w:val="1"/>
      <w:marLeft w:val="0"/>
      <w:marRight w:val="0"/>
      <w:marTop w:val="0"/>
      <w:marBottom w:val="0"/>
      <w:divBdr>
        <w:top w:val="none" w:sz="0" w:space="0" w:color="auto"/>
        <w:left w:val="none" w:sz="0" w:space="0" w:color="auto"/>
        <w:bottom w:val="none" w:sz="0" w:space="0" w:color="auto"/>
        <w:right w:val="none" w:sz="0" w:space="0" w:color="auto"/>
      </w:divBdr>
    </w:div>
    <w:div w:id="165558524">
      <w:bodyDiv w:val="1"/>
      <w:marLeft w:val="0"/>
      <w:marRight w:val="0"/>
      <w:marTop w:val="0"/>
      <w:marBottom w:val="0"/>
      <w:divBdr>
        <w:top w:val="none" w:sz="0" w:space="0" w:color="auto"/>
        <w:left w:val="none" w:sz="0" w:space="0" w:color="auto"/>
        <w:bottom w:val="none" w:sz="0" w:space="0" w:color="auto"/>
        <w:right w:val="none" w:sz="0" w:space="0" w:color="auto"/>
      </w:divBdr>
    </w:div>
    <w:div w:id="177157322">
      <w:bodyDiv w:val="1"/>
      <w:marLeft w:val="0"/>
      <w:marRight w:val="0"/>
      <w:marTop w:val="0"/>
      <w:marBottom w:val="0"/>
      <w:divBdr>
        <w:top w:val="none" w:sz="0" w:space="0" w:color="auto"/>
        <w:left w:val="none" w:sz="0" w:space="0" w:color="auto"/>
        <w:bottom w:val="none" w:sz="0" w:space="0" w:color="auto"/>
        <w:right w:val="none" w:sz="0" w:space="0" w:color="auto"/>
      </w:divBdr>
    </w:div>
    <w:div w:id="278879211">
      <w:bodyDiv w:val="1"/>
      <w:marLeft w:val="0"/>
      <w:marRight w:val="0"/>
      <w:marTop w:val="0"/>
      <w:marBottom w:val="0"/>
      <w:divBdr>
        <w:top w:val="none" w:sz="0" w:space="0" w:color="auto"/>
        <w:left w:val="none" w:sz="0" w:space="0" w:color="auto"/>
        <w:bottom w:val="none" w:sz="0" w:space="0" w:color="auto"/>
        <w:right w:val="none" w:sz="0" w:space="0" w:color="auto"/>
      </w:divBdr>
    </w:div>
    <w:div w:id="306787763">
      <w:bodyDiv w:val="1"/>
      <w:marLeft w:val="0"/>
      <w:marRight w:val="0"/>
      <w:marTop w:val="0"/>
      <w:marBottom w:val="0"/>
      <w:divBdr>
        <w:top w:val="none" w:sz="0" w:space="0" w:color="auto"/>
        <w:left w:val="none" w:sz="0" w:space="0" w:color="auto"/>
        <w:bottom w:val="none" w:sz="0" w:space="0" w:color="auto"/>
        <w:right w:val="none" w:sz="0" w:space="0" w:color="auto"/>
      </w:divBdr>
    </w:div>
    <w:div w:id="324358348">
      <w:bodyDiv w:val="1"/>
      <w:marLeft w:val="0"/>
      <w:marRight w:val="0"/>
      <w:marTop w:val="0"/>
      <w:marBottom w:val="0"/>
      <w:divBdr>
        <w:top w:val="none" w:sz="0" w:space="0" w:color="auto"/>
        <w:left w:val="none" w:sz="0" w:space="0" w:color="auto"/>
        <w:bottom w:val="none" w:sz="0" w:space="0" w:color="auto"/>
        <w:right w:val="none" w:sz="0" w:space="0" w:color="auto"/>
      </w:divBdr>
    </w:div>
    <w:div w:id="527836351">
      <w:bodyDiv w:val="1"/>
      <w:marLeft w:val="0"/>
      <w:marRight w:val="0"/>
      <w:marTop w:val="0"/>
      <w:marBottom w:val="0"/>
      <w:divBdr>
        <w:top w:val="none" w:sz="0" w:space="0" w:color="auto"/>
        <w:left w:val="none" w:sz="0" w:space="0" w:color="auto"/>
        <w:bottom w:val="none" w:sz="0" w:space="0" w:color="auto"/>
        <w:right w:val="none" w:sz="0" w:space="0" w:color="auto"/>
      </w:divBdr>
    </w:div>
    <w:div w:id="585920769">
      <w:bodyDiv w:val="1"/>
      <w:marLeft w:val="0"/>
      <w:marRight w:val="0"/>
      <w:marTop w:val="0"/>
      <w:marBottom w:val="0"/>
      <w:divBdr>
        <w:top w:val="none" w:sz="0" w:space="0" w:color="auto"/>
        <w:left w:val="none" w:sz="0" w:space="0" w:color="auto"/>
        <w:bottom w:val="none" w:sz="0" w:space="0" w:color="auto"/>
        <w:right w:val="none" w:sz="0" w:space="0" w:color="auto"/>
      </w:divBdr>
    </w:div>
    <w:div w:id="699359929">
      <w:bodyDiv w:val="1"/>
      <w:marLeft w:val="0"/>
      <w:marRight w:val="0"/>
      <w:marTop w:val="0"/>
      <w:marBottom w:val="0"/>
      <w:divBdr>
        <w:top w:val="none" w:sz="0" w:space="0" w:color="auto"/>
        <w:left w:val="none" w:sz="0" w:space="0" w:color="auto"/>
        <w:bottom w:val="none" w:sz="0" w:space="0" w:color="auto"/>
        <w:right w:val="none" w:sz="0" w:space="0" w:color="auto"/>
      </w:divBdr>
    </w:div>
    <w:div w:id="735251110">
      <w:bodyDiv w:val="1"/>
      <w:marLeft w:val="0"/>
      <w:marRight w:val="0"/>
      <w:marTop w:val="0"/>
      <w:marBottom w:val="0"/>
      <w:divBdr>
        <w:top w:val="none" w:sz="0" w:space="0" w:color="auto"/>
        <w:left w:val="none" w:sz="0" w:space="0" w:color="auto"/>
        <w:bottom w:val="none" w:sz="0" w:space="0" w:color="auto"/>
        <w:right w:val="none" w:sz="0" w:space="0" w:color="auto"/>
      </w:divBdr>
    </w:div>
    <w:div w:id="756709002">
      <w:bodyDiv w:val="1"/>
      <w:marLeft w:val="0"/>
      <w:marRight w:val="0"/>
      <w:marTop w:val="0"/>
      <w:marBottom w:val="0"/>
      <w:divBdr>
        <w:top w:val="none" w:sz="0" w:space="0" w:color="auto"/>
        <w:left w:val="none" w:sz="0" w:space="0" w:color="auto"/>
        <w:bottom w:val="none" w:sz="0" w:space="0" w:color="auto"/>
        <w:right w:val="none" w:sz="0" w:space="0" w:color="auto"/>
      </w:divBdr>
    </w:div>
    <w:div w:id="828210422">
      <w:bodyDiv w:val="1"/>
      <w:marLeft w:val="0"/>
      <w:marRight w:val="0"/>
      <w:marTop w:val="0"/>
      <w:marBottom w:val="0"/>
      <w:divBdr>
        <w:top w:val="none" w:sz="0" w:space="0" w:color="auto"/>
        <w:left w:val="none" w:sz="0" w:space="0" w:color="auto"/>
        <w:bottom w:val="none" w:sz="0" w:space="0" w:color="auto"/>
        <w:right w:val="none" w:sz="0" w:space="0" w:color="auto"/>
      </w:divBdr>
    </w:div>
    <w:div w:id="908154886">
      <w:bodyDiv w:val="1"/>
      <w:marLeft w:val="0"/>
      <w:marRight w:val="0"/>
      <w:marTop w:val="0"/>
      <w:marBottom w:val="0"/>
      <w:divBdr>
        <w:top w:val="none" w:sz="0" w:space="0" w:color="auto"/>
        <w:left w:val="none" w:sz="0" w:space="0" w:color="auto"/>
        <w:bottom w:val="none" w:sz="0" w:space="0" w:color="auto"/>
        <w:right w:val="none" w:sz="0" w:space="0" w:color="auto"/>
      </w:divBdr>
    </w:div>
    <w:div w:id="965507357">
      <w:bodyDiv w:val="1"/>
      <w:marLeft w:val="0"/>
      <w:marRight w:val="0"/>
      <w:marTop w:val="0"/>
      <w:marBottom w:val="0"/>
      <w:divBdr>
        <w:top w:val="none" w:sz="0" w:space="0" w:color="auto"/>
        <w:left w:val="none" w:sz="0" w:space="0" w:color="auto"/>
        <w:bottom w:val="none" w:sz="0" w:space="0" w:color="auto"/>
        <w:right w:val="none" w:sz="0" w:space="0" w:color="auto"/>
      </w:divBdr>
    </w:div>
    <w:div w:id="1050880203">
      <w:bodyDiv w:val="1"/>
      <w:marLeft w:val="0"/>
      <w:marRight w:val="0"/>
      <w:marTop w:val="0"/>
      <w:marBottom w:val="0"/>
      <w:divBdr>
        <w:top w:val="none" w:sz="0" w:space="0" w:color="auto"/>
        <w:left w:val="none" w:sz="0" w:space="0" w:color="auto"/>
        <w:bottom w:val="none" w:sz="0" w:space="0" w:color="auto"/>
        <w:right w:val="none" w:sz="0" w:space="0" w:color="auto"/>
      </w:divBdr>
    </w:div>
    <w:div w:id="1108163496">
      <w:bodyDiv w:val="1"/>
      <w:marLeft w:val="0"/>
      <w:marRight w:val="0"/>
      <w:marTop w:val="0"/>
      <w:marBottom w:val="0"/>
      <w:divBdr>
        <w:top w:val="none" w:sz="0" w:space="0" w:color="auto"/>
        <w:left w:val="none" w:sz="0" w:space="0" w:color="auto"/>
        <w:bottom w:val="none" w:sz="0" w:space="0" w:color="auto"/>
        <w:right w:val="none" w:sz="0" w:space="0" w:color="auto"/>
      </w:divBdr>
    </w:div>
    <w:div w:id="1118795416">
      <w:bodyDiv w:val="1"/>
      <w:marLeft w:val="0"/>
      <w:marRight w:val="0"/>
      <w:marTop w:val="0"/>
      <w:marBottom w:val="0"/>
      <w:divBdr>
        <w:top w:val="none" w:sz="0" w:space="0" w:color="auto"/>
        <w:left w:val="none" w:sz="0" w:space="0" w:color="auto"/>
        <w:bottom w:val="none" w:sz="0" w:space="0" w:color="auto"/>
        <w:right w:val="none" w:sz="0" w:space="0" w:color="auto"/>
      </w:divBdr>
    </w:div>
    <w:div w:id="1146822774">
      <w:bodyDiv w:val="1"/>
      <w:marLeft w:val="0"/>
      <w:marRight w:val="0"/>
      <w:marTop w:val="0"/>
      <w:marBottom w:val="0"/>
      <w:divBdr>
        <w:top w:val="none" w:sz="0" w:space="0" w:color="auto"/>
        <w:left w:val="none" w:sz="0" w:space="0" w:color="auto"/>
        <w:bottom w:val="none" w:sz="0" w:space="0" w:color="auto"/>
        <w:right w:val="none" w:sz="0" w:space="0" w:color="auto"/>
      </w:divBdr>
    </w:div>
    <w:div w:id="1147891379">
      <w:bodyDiv w:val="1"/>
      <w:marLeft w:val="0"/>
      <w:marRight w:val="0"/>
      <w:marTop w:val="0"/>
      <w:marBottom w:val="0"/>
      <w:divBdr>
        <w:top w:val="none" w:sz="0" w:space="0" w:color="auto"/>
        <w:left w:val="none" w:sz="0" w:space="0" w:color="auto"/>
        <w:bottom w:val="none" w:sz="0" w:space="0" w:color="auto"/>
        <w:right w:val="none" w:sz="0" w:space="0" w:color="auto"/>
      </w:divBdr>
    </w:div>
    <w:div w:id="1179081233">
      <w:bodyDiv w:val="1"/>
      <w:marLeft w:val="0"/>
      <w:marRight w:val="0"/>
      <w:marTop w:val="0"/>
      <w:marBottom w:val="0"/>
      <w:divBdr>
        <w:top w:val="none" w:sz="0" w:space="0" w:color="auto"/>
        <w:left w:val="none" w:sz="0" w:space="0" w:color="auto"/>
        <w:bottom w:val="none" w:sz="0" w:space="0" w:color="auto"/>
        <w:right w:val="none" w:sz="0" w:space="0" w:color="auto"/>
      </w:divBdr>
    </w:div>
    <w:div w:id="1292518623">
      <w:bodyDiv w:val="1"/>
      <w:marLeft w:val="0"/>
      <w:marRight w:val="0"/>
      <w:marTop w:val="0"/>
      <w:marBottom w:val="0"/>
      <w:divBdr>
        <w:top w:val="none" w:sz="0" w:space="0" w:color="auto"/>
        <w:left w:val="none" w:sz="0" w:space="0" w:color="auto"/>
        <w:bottom w:val="none" w:sz="0" w:space="0" w:color="auto"/>
        <w:right w:val="none" w:sz="0" w:space="0" w:color="auto"/>
      </w:divBdr>
    </w:div>
    <w:div w:id="1324316167">
      <w:bodyDiv w:val="1"/>
      <w:marLeft w:val="0"/>
      <w:marRight w:val="0"/>
      <w:marTop w:val="0"/>
      <w:marBottom w:val="0"/>
      <w:divBdr>
        <w:top w:val="none" w:sz="0" w:space="0" w:color="auto"/>
        <w:left w:val="none" w:sz="0" w:space="0" w:color="auto"/>
        <w:bottom w:val="none" w:sz="0" w:space="0" w:color="auto"/>
        <w:right w:val="none" w:sz="0" w:space="0" w:color="auto"/>
      </w:divBdr>
    </w:div>
    <w:div w:id="1406494610">
      <w:bodyDiv w:val="1"/>
      <w:marLeft w:val="0"/>
      <w:marRight w:val="0"/>
      <w:marTop w:val="0"/>
      <w:marBottom w:val="0"/>
      <w:divBdr>
        <w:top w:val="none" w:sz="0" w:space="0" w:color="auto"/>
        <w:left w:val="none" w:sz="0" w:space="0" w:color="auto"/>
        <w:bottom w:val="none" w:sz="0" w:space="0" w:color="auto"/>
        <w:right w:val="none" w:sz="0" w:space="0" w:color="auto"/>
      </w:divBdr>
    </w:div>
    <w:div w:id="1515608808">
      <w:bodyDiv w:val="1"/>
      <w:marLeft w:val="0"/>
      <w:marRight w:val="0"/>
      <w:marTop w:val="0"/>
      <w:marBottom w:val="0"/>
      <w:divBdr>
        <w:top w:val="none" w:sz="0" w:space="0" w:color="auto"/>
        <w:left w:val="none" w:sz="0" w:space="0" w:color="auto"/>
        <w:bottom w:val="none" w:sz="0" w:space="0" w:color="auto"/>
        <w:right w:val="none" w:sz="0" w:space="0" w:color="auto"/>
      </w:divBdr>
    </w:div>
    <w:div w:id="1594632082">
      <w:bodyDiv w:val="1"/>
      <w:marLeft w:val="0"/>
      <w:marRight w:val="0"/>
      <w:marTop w:val="0"/>
      <w:marBottom w:val="0"/>
      <w:divBdr>
        <w:top w:val="none" w:sz="0" w:space="0" w:color="auto"/>
        <w:left w:val="none" w:sz="0" w:space="0" w:color="auto"/>
        <w:bottom w:val="none" w:sz="0" w:space="0" w:color="auto"/>
        <w:right w:val="none" w:sz="0" w:space="0" w:color="auto"/>
      </w:divBdr>
    </w:div>
    <w:div w:id="1706707511">
      <w:bodyDiv w:val="1"/>
      <w:marLeft w:val="0"/>
      <w:marRight w:val="0"/>
      <w:marTop w:val="0"/>
      <w:marBottom w:val="0"/>
      <w:divBdr>
        <w:top w:val="none" w:sz="0" w:space="0" w:color="auto"/>
        <w:left w:val="none" w:sz="0" w:space="0" w:color="auto"/>
        <w:bottom w:val="none" w:sz="0" w:space="0" w:color="auto"/>
        <w:right w:val="none" w:sz="0" w:space="0" w:color="auto"/>
      </w:divBdr>
    </w:div>
    <w:div w:id="1747609251">
      <w:bodyDiv w:val="1"/>
      <w:marLeft w:val="0"/>
      <w:marRight w:val="0"/>
      <w:marTop w:val="0"/>
      <w:marBottom w:val="0"/>
      <w:divBdr>
        <w:top w:val="none" w:sz="0" w:space="0" w:color="auto"/>
        <w:left w:val="none" w:sz="0" w:space="0" w:color="auto"/>
        <w:bottom w:val="none" w:sz="0" w:space="0" w:color="auto"/>
        <w:right w:val="none" w:sz="0" w:space="0" w:color="auto"/>
      </w:divBdr>
    </w:div>
    <w:div w:id="1796873324">
      <w:bodyDiv w:val="1"/>
      <w:marLeft w:val="0"/>
      <w:marRight w:val="0"/>
      <w:marTop w:val="0"/>
      <w:marBottom w:val="0"/>
      <w:divBdr>
        <w:top w:val="none" w:sz="0" w:space="0" w:color="auto"/>
        <w:left w:val="none" w:sz="0" w:space="0" w:color="auto"/>
        <w:bottom w:val="none" w:sz="0" w:space="0" w:color="auto"/>
        <w:right w:val="none" w:sz="0" w:space="0" w:color="auto"/>
      </w:divBdr>
    </w:div>
    <w:div w:id="1804500323">
      <w:bodyDiv w:val="1"/>
      <w:marLeft w:val="0"/>
      <w:marRight w:val="0"/>
      <w:marTop w:val="0"/>
      <w:marBottom w:val="0"/>
      <w:divBdr>
        <w:top w:val="none" w:sz="0" w:space="0" w:color="auto"/>
        <w:left w:val="none" w:sz="0" w:space="0" w:color="auto"/>
        <w:bottom w:val="none" w:sz="0" w:space="0" w:color="auto"/>
        <w:right w:val="none" w:sz="0" w:space="0" w:color="auto"/>
      </w:divBdr>
    </w:div>
    <w:div w:id="1808007311">
      <w:bodyDiv w:val="1"/>
      <w:marLeft w:val="0"/>
      <w:marRight w:val="0"/>
      <w:marTop w:val="0"/>
      <w:marBottom w:val="0"/>
      <w:divBdr>
        <w:top w:val="none" w:sz="0" w:space="0" w:color="auto"/>
        <w:left w:val="none" w:sz="0" w:space="0" w:color="auto"/>
        <w:bottom w:val="none" w:sz="0" w:space="0" w:color="auto"/>
        <w:right w:val="none" w:sz="0" w:space="0" w:color="auto"/>
      </w:divBdr>
    </w:div>
    <w:div w:id="1828397197">
      <w:bodyDiv w:val="1"/>
      <w:marLeft w:val="0"/>
      <w:marRight w:val="0"/>
      <w:marTop w:val="0"/>
      <w:marBottom w:val="0"/>
      <w:divBdr>
        <w:top w:val="none" w:sz="0" w:space="0" w:color="auto"/>
        <w:left w:val="none" w:sz="0" w:space="0" w:color="auto"/>
        <w:bottom w:val="none" w:sz="0" w:space="0" w:color="auto"/>
        <w:right w:val="none" w:sz="0" w:space="0" w:color="auto"/>
      </w:divBdr>
    </w:div>
    <w:div w:id="1856457341">
      <w:bodyDiv w:val="1"/>
      <w:marLeft w:val="0"/>
      <w:marRight w:val="0"/>
      <w:marTop w:val="0"/>
      <w:marBottom w:val="0"/>
      <w:divBdr>
        <w:top w:val="none" w:sz="0" w:space="0" w:color="auto"/>
        <w:left w:val="none" w:sz="0" w:space="0" w:color="auto"/>
        <w:bottom w:val="none" w:sz="0" w:space="0" w:color="auto"/>
        <w:right w:val="none" w:sz="0" w:space="0" w:color="auto"/>
      </w:divBdr>
    </w:div>
    <w:div w:id="1975063744">
      <w:bodyDiv w:val="1"/>
      <w:marLeft w:val="0"/>
      <w:marRight w:val="0"/>
      <w:marTop w:val="0"/>
      <w:marBottom w:val="0"/>
      <w:divBdr>
        <w:top w:val="none" w:sz="0" w:space="0" w:color="auto"/>
        <w:left w:val="none" w:sz="0" w:space="0" w:color="auto"/>
        <w:bottom w:val="none" w:sz="0" w:space="0" w:color="auto"/>
        <w:right w:val="none" w:sz="0" w:space="0" w:color="auto"/>
      </w:divBdr>
    </w:div>
    <w:div w:id="202377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167F-506C-4A50-A31E-7D16BAE1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LON_LIB1\13374592\2</vt:lpstr>
    </vt:vector>
  </TitlesOfParts>
  <Company>Private</Company>
  <LinksUpToDate>false</LinksUpToDate>
  <CharactersWithSpaces>9089</CharactersWithSpaces>
  <SharedDoc>false</SharedDoc>
  <HLinks>
    <vt:vector size="6" baseType="variant">
      <vt:variant>
        <vt:i4>4456558</vt:i4>
      </vt:variant>
      <vt:variant>
        <vt:i4>0</vt:i4>
      </vt:variant>
      <vt:variant>
        <vt:i4>0</vt:i4>
      </vt:variant>
      <vt:variant>
        <vt:i4>5</vt:i4>
      </vt:variant>
      <vt:variant>
        <vt:lpwstr>http://www.barnet.gov.uk/download/downloads/id/3187/revised_housing_allocations_scheme_october_2013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LON_LIB1\13374592\2</dc:title>
  <dc:creator>WeberY</dc:creator>
  <cp:lastModifiedBy>Vicky Warmington</cp:lastModifiedBy>
  <cp:revision>8</cp:revision>
  <cp:lastPrinted>2018-06-21T10:15:00Z</cp:lastPrinted>
  <dcterms:created xsi:type="dcterms:W3CDTF">2018-06-20T15:20:00Z</dcterms:created>
  <dcterms:modified xsi:type="dcterms:W3CDTF">2018-06-21T10:15:00Z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ientID">
    <vt:lpwstr>098154</vt:lpwstr>
  </property>
  <property fmtid="{D5CDD505-2E9C-101B-9397-08002B2CF9AE}" pid="4" name="MatterID">
    <vt:lpwstr>000018</vt:lpwstr>
  </property>
  <property fmtid="{D5CDD505-2E9C-101B-9397-08002B2CF9AE}" pid="5" name="DocID">
    <vt:lpwstr>46849363.1</vt:lpwstr>
  </property>
  <property fmtid="{D5CDD505-2E9C-101B-9397-08002B2CF9AE}" pid="6" name="_AdHocReviewCycleID">
    <vt:i4>-854741860</vt:i4>
  </property>
  <property fmtid="{D5CDD505-2E9C-101B-9397-08002B2CF9AE}" pid="7" name="_EmailSubject">
    <vt:lpwstr>Granville Road - site visit and conference with counsel - 20 June at 10:00 [TLT-TLT.FID4490472]</vt:lpwstr>
  </property>
  <property fmtid="{D5CDD505-2E9C-101B-9397-08002B2CF9AE}" pid="8" name="_AuthorEmail">
    <vt:lpwstr>Paul.Shipway@barnet.gov.uk</vt:lpwstr>
  </property>
  <property fmtid="{D5CDD505-2E9C-101B-9397-08002B2CF9AE}" pid="9" name="_AuthorEmailDisplayName">
    <vt:lpwstr>Shipway, Paul</vt:lpwstr>
  </property>
  <property fmtid="{D5CDD505-2E9C-101B-9397-08002B2CF9AE}" pid="10" name="_ReviewingToolsShownOnce">
    <vt:lpwstr/>
  </property>
</Properties>
</file>