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CE" w:rsidRDefault="00782BA5">
      <w:pPr>
        <w:pStyle w:val="TLTBodyText"/>
        <w:rPr>
          <w:rFonts w:ascii="Times New Roman" w:eastAsiaTheme="minorHAnsi" w:hAnsi="Times New Roman"/>
          <w:b/>
          <w:bCs/>
          <w:sz w:val="24"/>
          <w:lang w:eastAsia="en-US"/>
        </w:rPr>
      </w:pPr>
      <w:bookmarkStart w:id="0" w:name="_GoBack"/>
      <w:bookmarkEnd w:id="0"/>
      <w:r w:rsidRPr="00782BA5">
        <w:rPr>
          <w:rFonts w:ascii="Times New Roman" w:eastAsiaTheme="minorHAnsi" w:hAnsi="Times New Roman"/>
          <w:b/>
          <w:bCs/>
          <w:sz w:val="24"/>
          <w:lang w:eastAsia="en-US"/>
        </w:rPr>
        <w:t>The London Borough of Barnet (Granville Road Estate Pramsheds and Beech Court) Compulsory Purchase Order 2018</w:t>
      </w:r>
    </w:p>
    <w:p w:rsidR="00782BA5" w:rsidRDefault="002516E9">
      <w:pPr>
        <w:pStyle w:val="TLTBodyText"/>
        <w:rPr>
          <w:rFonts w:ascii="Times New Roman" w:eastAsiaTheme="minorHAnsi" w:hAnsi="Times New Roman"/>
          <w:b/>
          <w:bCs/>
          <w:sz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lang w:eastAsia="en-US"/>
        </w:rPr>
        <w:t>Acquiring Authority G</w:t>
      </w:r>
      <w:r w:rsidR="00782BA5">
        <w:rPr>
          <w:rFonts w:ascii="Times New Roman" w:eastAsiaTheme="minorHAnsi" w:hAnsi="Times New Roman"/>
          <w:b/>
          <w:bCs/>
          <w:sz w:val="24"/>
          <w:lang w:eastAsia="en-US"/>
        </w:rPr>
        <w:t>lossary</w:t>
      </w:r>
      <w:r>
        <w:rPr>
          <w:rFonts w:ascii="Times New Roman" w:eastAsiaTheme="minorHAnsi" w:hAnsi="Times New Roman"/>
          <w:b/>
          <w:bCs/>
          <w:sz w:val="24"/>
          <w:lang w:eastAsia="en-US"/>
        </w:rPr>
        <w:t xml:space="preserve"> of Terms</w:t>
      </w:r>
    </w:p>
    <w:p w:rsidR="00782BA5" w:rsidRDefault="00782BA5">
      <w:pPr>
        <w:pStyle w:val="TLT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889"/>
      </w:tblGrid>
      <w:tr w:rsidR="00227DDF" w:rsidRPr="00782BA5" w:rsidTr="00782BA5">
        <w:tc>
          <w:tcPr>
            <w:tcW w:w="2802" w:type="dxa"/>
          </w:tcPr>
          <w:p w:rsidR="00227DDF" w:rsidRPr="00782BA5" w:rsidRDefault="00227DDF">
            <w:pPr>
              <w:pStyle w:val="TLTBodyText"/>
              <w:rPr>
                <w:b/>
              </w:rPr>
            </w:pPr>
            <w:r w:rsidRPr="00782BA5">
              <w:rPr>
                <w:b/>
              </w:rPr>
              <w:t>Term</w:t>
            </w:r>
          </w:p>
        </w:tc>
        <w:tc>
          <w:tcPr>
            <w:tcW w:w="5889" w:type="dxa"/>
          </w:tcPr>
          <w:p w:rsidR="00227DDF" w:rsidRPr="00782BA5" w:rsidRDefault="00227DDF">
            <w:pPr>
              <w:pStyle w:val="TLTBodyText"/>
              <w:rPr>
                <w:b/>
              </w:rPr>
            </w:pPr>
            <w:r w:rsidRPr="00782BA5">
              <w:rPr>
                <w:b/>
              </w:rPr>
              <w:t>Description</w:t>
            </w:r>
          </w:p>
        </w:tc>
      </w:tr>
      <w:tr w:rsidR="002516E9" w:rsidTr="00782BA5">
        <w:tc>
          <w:tcPr>
            <w:tcW w:w="2802" w:type="dxa"/>
          </w:tcPr>
          <w:p w:rsidR="002516E9" w:rsidRDefault="002516E9" w:rsidP="002516E9">
            <w:pPr>
              <w:pStyle w:val="TLTBodyText"/>
            </w:pPr>
            <w:r>
              <w:t>The Acquiring Authority</w:t>
            </w:r>
          </w:p>
        </w:tc>
        <w:tc>
          <w:tcPr>
            <w:tcW w:w="5889" w:type="dxa"/>
          </w:tcPr>
          <w:p w:rsidR="002516E9" w:rsidRDefault="002516E9">
            <w:pPr>
              <w:pStyle w:val="TLTBodyText"/>
            </w:pPr>
            <w:r>
              <w:t>The London Borough of Barnet</w:t>
            </w:r>
          </w:p>
        </w:tc>
      </w:tr>
      <w:tr w:rsidR="00227DDF" w:rsidTr="00782BA5">
        <w:tc>
          <w:tcPr>
            <w:tcW w:w="2802" w:type="dxa"/>
          </w:tcPr>
          <w:p w:rsidR="00227DDF" w:rsidRDefault="00227DDF">
            <w:pPr>
              <w:pStyle w:val="TLTBodyText"/>
            </w:pPr>
            <w:r>
              <w:t xml:space="preserve">The Council </w:t>
            </w:r>
          </w:p>
        </w:tc>
        <w:tc>
          <w:tcPr>
            <w:tcW w:w="5889" w:type="dxa"/>
          </w:tcPr>
          <w:p w:rsidR="00227DDF" w:rsidRDefault="00227DDF" w:rsidP="002516E9">
            <w:pPr>
              <w:pStyle w:val="TLTBodyText"/>
            </w:pPr>
            <w:r>
              <w:t>The London Borough of Barnet</w:t>
            </w:r>
          </w:p>
        </w:tc>
      </w:tr>
      <w:tr w:rsidR="00227DDF" w:rsidTr="00782BA5">
        <w:tc>
          <w:tcPr>
            <w:tcW w:w="2802" w:type="dxa"/>
          </w:tcPr>
          <w:p w:rsidR="00227DDF" w:rsidRDefault="00227DDF">
            <w:pPr>
              <w:pStyle w:val="TLTBodyText"/>
            </w:pPr>
            <w:r>
              <w:t>The Estate</w:t>
            </w:r>
          </w:p>
        </w:tc>
        <w:tc>
          <w:tcPr>
            <w:tcW w:w="5889" w:type="dxa"/>
          </w:tcPr>
          <w:p w:rsidR="00227DDF" w:rsidRDefault="00227DDF" w:rsidP="002516E9">
            <w:pPr>
              <w:pStyle w:val="TLTBodyText"/>
            </w:pPr>
            <w:r w:rsidRPr="00522DD2">
              <w:t>The Granville Road Estate</w:t>
            </w:r>
            <w:r>
              <w:t xml:space="preserve"> </w:t>
            </w:r>
            <w:r w:rsidR="002516E9">
              <w:t xml:space="preserve">as shown in </w:t>
            </w:r>
            <w:r>
              <w:t>CD 6</w:t>
            </w:r>
          </w:p>
        </w:tc>
      </w:tr>
      <w:tr w:rsidR="00227DDF" w:rsidTr="00782BA5">
        <w:tc>
          <w:tcPr>
            <w:tcW w:w="2802" w:type="dxa"/>
          </w:tcPr>
          <w:p w:rsidR="00227DDF" w:rsidRDefault="00227DDF">
            <w:pPr>
              <w:pStyle w:val="TLTBodyText"/>
            </w:pPr>
            <w:r>
              <w:t>The Guidance</w:t>
            </w:r>
          </w:p>
        </w:tc>
        <w:tc>
          <w:tcPr>
            <w:tcW w:w="5889" w:type="dxa"/>
          </w:tcPr>
          <w:p w:rsidR="00227DDF" w:rsidRDefault="00227DDF" w:rsidP="002516E9">
            <w:pPr>
              <w:pStyle w:val="TLTBodyText"/>
            </w:pPr>
            <w:r>
              <w:t xml:space="preserve">DCLG's Guidance on </w:t>
            </w:r>
            <w:r w:rsidRPr="00076FBE">
              <w:t>Compulsory purchase process</w:t>
            </w:r>
            <w:r>
              <w:t xml:space="preserve"> and The Crichel Down Rules (February 2018) (</w:t>
            </w:r>
            <w:r>
              <w:rPr>
                <w:b/>
              </w:rPr>
              <w:t>CD 30</w:t>
            </w:r>
            <w:r>
              <w:t>)</w:t>
            </w:r>
          </w:p>
        </w:tc>
      </w:tr>
      <w:tr w:rsidR="00227DDF" w:rsidTr="00782BA5">
        <w:tc>
          <w:tcPr>
            <w:tcW w:w="2802" w:type="dxa"/>
          </w:tcPr>
          <w:p w:rsidR="00227DDF" w:rsidRDefault="00227DDF">
            <w:pPr>
              <w:pStyle w:val="TLTBodyText"/>
            </w:pPr>
            <w:r>
              <w:t>The Order</w:t>
            </w:r>
          </w:p>
        </w:tc>
        <w:tc>
          <w:tcPr>
            <w:tcW w:w="5889" w:type="dxa"/>
          </w:tcPr>
          <w:p w:rsidR="00227DDF" w:rsidRDefault="00227DDF">
            <w:pPr>
              <w:pStyle w:val="TLTBodyText"/>
            </w:pPr>
            <w:r>
              <w:t>T</w:t>
            </w:r>
            <w:r w:rsidRPr="00156C41">
              <w:t>he London Borough of Barnet (Granville Road Estate) C</w:t>
            </w:r>
            <w:r>
              <w:t>ompulsory Purchase Order 2018</w:t>
            </w:r>
          </w:p>
        </w:tc>
      </w:tr>
      <w:tr w:rsidR="00227DDF" w:rsidTr="00782BA5">
        <w:tc>
          <w:tcPr>
            <w:tcW w:w="2802" w:type="dxa"/>
          </w:tcPr>
          <w:p w:rsidR="00227DDF" w:rsidRDefault="00227DDF" w:rsidP="00782BA5">
            <w:pPr>
              <w:pStyle w:val="TLTBodyText"/>
            </w:pPr>
            <w:r>
              <w:t>The Phase 2 Scheme</w:t>
            </w:r>
          </w:p>
        </w:tc>
        <w:tc>
          <w:tcPr>
            <w:tcW w:w="5889" w:type="dxa"/>
          </w:tcPr>
          <w:p w:rsidR="00227DDF" w:rsidRDefault="00227DDF" w:rsidP="00782BA5">
            <w:pPr>
              <w:pStyle w:val="TLTBodyText"/>
            </w:pPr>
            <w:r>
              <w:t>The second</w:t>
            </w:r>
            <w:r w:rsidRPr="00156C41">
              <w:t xml:space="preserve"> </w:t>
            </w:r>
            <w:r>
              <w:t>p</w:t>
            </w:r>
            <w:r w:rsidRPr="00156C41">
              <w:t xml:space="preserve">hase </w:t>
            </w:r>
            <w:r>
              <w:t xml:space="preserve">of the Estate regeneration which </w:t>
            </w:r>
            <w:r w:rsidRPr="00156C41">
              <w:t>involves the provision of a residential scheme of 58 houses and 74 flats with associated landscaping, parking and open space</w:t>
            </w:r>
          </w:p>
        </w:tc>
      </w:tr>
      <w:tr w:rsidR="00227DDF" w:rsidTr="00782BA5">
        <w:tc>
          <w:tcPr>
            <w:tcW w:w="2802" w:type="dxa"/>
          </w:tcPr>
          <w:p w:rsidR="00227DDF" w:rsidRDefault="00227DDF">
            <w:pPr>
              <w:pStyle w:val="TLTBodyText"/>
            </w:pPr>
            <w:r>
              <w:t>The Planning Permission</w:t>
            </w:r>
          </w:p>
        </w:tc>
        <w:tc>
          <w:tcPr>
            <w:tcW w:w="5889" w:type="dxa"/>
          </w:tcPr>
          <w:p w:rsidR="00227DDF" w:rsidRDefault="00227DDF" w:rsidP="00782BA5">
            <w:pPr>
              <w:pStyle w:val="TLTBodyText"/>
            </w:pPr>
            <w:r>
              <w:t xml:space="preserve">The planning permission </w:t>
            </w:r>
            <w:r w:rsidRPr="00156C41">
              <w:t>granted f</w:t>
            </w:r>
            <w:r>
              <w:t>or the Phase 2 Scheme on appeal (</w:t>
            </w:r>
            <w:r w:rsidRPr="00156C41">
              <w:t xml:space="preserve">the </w:t>
            </w:r>
            <w:r w:rsidRPr="00156C41">
              <w:rPr>
                <w:b/>
              </w:rPr>
              <w:t>Appeal</w:t>
            </w:r>
            <w:r w:rsidRPr="00156C41">
              <w:t>) on 8 August 2016</w:t>
            </w:r>
            <w:r>
              <w:t xml:space="preserve"> (see </w:t>
            </w:r>
            <w:r w:rsidRPr="00816C1C">
              <w:rPr>
                <w:b/>
              </w:rPr>
              <w:t>CD 20</w:t>
            </w:r>
            <w:r w:rsidRPr="00613744">
              <w:t>)</w:t>
            </w:r>
            <w:r w:rsidRPr="00156C41">
              <w:t xml:space="preserve"> </w:t>
            </w:r>
          </w:p>
        </w:tc>
      </w:tr>
      <w:tr w:rsidR="00227DDF" w:rsidTr="00782BA5">
        <w:tc>
          <w:tcPr>
            <w:tcW w:w="2802" w:type="dxa"/>
          </w:tcPr>
          <w:p w:rsidR="00227DDF" w:rsidRDefault="00227DDF">
            <w:pPr>
              <w:pStyle w:val="TLTBodyText"/>
            </w:pPr>
            <w:r>
              <w:t>The Pramsheds</w:t>
            </w:r>
          </w:p>
        </w:tc>
        <w:tc>
          <w:tcPr>
            <w:tcW w:w="5889" w:type="dxa"/>
          </w:tcPr>
          <w:p w:rsidR="00227DDF" w:rsidRDefault="002516E9">
            <w:pPr>
              <w:pStyle w:val="TLTBodyText"/>
            </w:pPr>
            <w:r>
              <w:t>The pramsheds described in the Order</w:t>
            </w:r>
          </w:p>
        </w:tc>
      </w:tr>
      <w:tr w:rsidR="00227DDF" w:rsidTr="00782BA5">
        <w:tc>
          <w:tcPr>
            <w:tcW w:w="2802" w:type="dxa"/>
          </w:tcPr>
          <w:p w:rsidR="00227DDF" w:rsidRDefault="00227DDF">
            <w:pPr>
              <w:pStyle w:val="TLTBodyText"/>
            </w:pPr>
            <w:r>
              <w:t>The Regeneration Project</w:t>
            </w:r>
          </w:p>
        </w:tc>
        <w:tc>
          <w:tcPr>
            <w:tcW w:w="5889" w:type="dxa"/>
          </w:tcPr>
          <w:p w:rsidR="00227DDF" w:rsidRDefault="00227DDF" w:rsidP="002516E9">
            <w:pPr>
              <w:pStyle w:val="TLTBodyText"/>
            </w:pPr>
            <w:r>
              <w:t>The regeneration of the Estate as promoted in the Council's Core Strategy 2012 (</w:t>
            </w:r>
            <w:r w:rsidRPr="00227DDF">
              <w:rPr>
                <w:b/>
              </w:rPr>
              <w:t>CD 27</w:t>
            </w:r>
            <w:r>
              <w:t>)</w:t>
            </w:r>
          </w:p>
        </w:tc>
      </w:tr>
    </w:tbl>
    <w:p w:rsidR="00782BA5" w:rsidRDefault="00782BA5">
      <w:pPr>
        <w:pStyle w:val="TLTBodyText"/>
      </w:pPr>
    </w:p>
    <w:sectPr w:rsidR="00782B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588" w:bottom="1440" w:left="1843" w:header="567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BA5" w:rsidRDefault="00782BA5" w:rsidP="0092520A">
      <w:r>
        <w:separator/>
      </w:r>
    </w:p>
  </w:endnote>
  <w:endnote w:type="continuationSeparator" w:id="0">
    <w:p w:rsidR="00782BA5" w:rsidRDefault="00782BA5" w:rsidP="0092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55" w:rsidRDefault="00164B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35"/>
      <w:gridCol w:w="2881"/>
      <w:gridCol w:w="2875"/>
    </w:tblGrid>
    <w:tr w:rsidR="005E5DCE">
      <w:tc>
        <w:tcPr>
          <w:tcW w:w="3080" w:type="dxa"/>
        </w:tcPr>
        <w:p w:rsidR="005E5DCE" w:rsidRDefault="00CE16B9">
          <w:pPr>
            <w:pStyle w:val="Footer"/>
          </w:pPr>
          <w:r>
            <w:fldChar w:fldCharType="begin"/>
          </w:r>
          <w:r>
            <w:instrText xml:space="preserve"> DOCPROPERTY  DocID  \* MERGEFORMAT </w:instrText>
          </w:r>
          <w:r>
            <w:fldChar w:fldCharType="separate"/>
          </w:r>
          <w:r>
            <w:t>46698924.2</w:t>
          </w:r>
          <w:r>
            <w:fldChar w:fldCharType="end"/>
          </w:r>
        </w:p>
      </w:tc>
      <w:tc>
        <w:tcPr>
          <w:tcW w:w="3081" w:type="dxa"/>
        </w:tcPr>
        <w:p w:rsidR="005E5DCE" w:rsidRDefault="00164B55">
          <w:pPr>
            <w:pStyle w:val="Footer"/>
            <w:jc w:val="cente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E16B9">
            <w:rPr>
              <w:noProof/>
            </w:rPr>
            <w:t>1</w:t>
          </w:r>
          <w:r>
            <w:fldChar w:fldCharType="end"/>
          </w:r>
        </w:p>
      </w:tc>
      <w:tc>
        <w:tcPr>
          <w:tcW w:w="3081" w:type="dxa"/>
        </w:tcPr>
        <w:p w:rsidR="005E5DCE" w:rsidRDefault="005E5DCE">
          <w:pPr>
            <w:pStyle w:val="Footer"/>
          </w:pPr>
        </w:p>
      </w:tc>
    </w:tr>
  </w:tbl>
  <w:p w:rsidR="005E5DCE" w:rsidRDefault="005E5D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55" w:rsidRDefault="00164B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BA5" w:rsidRDefault="00782BA5" w:rsidP="0092520A">
      <w:r>
        <w:separator/>
      </w:r>
    </w:p>
  </w:footnote>
  <w:footnote w:type="continuationSeparator" w:id="0">
    <w:p w:rsidR="00782BA5" w:rsidRDefault="00782BA5" w:rsidP="00925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55" w:rsidRDefault="00164B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CE" w:rsidRDefault="005E5D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55" w:rsidRDefault="00164B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D15"/>
    <w:multiLevelType w:val="hybridMultilevel"/>
    <w:tmpl w:val="E70690B2"/>
    <w:lvl w:ilvl="0" w:tplc="86A0103A">
      <w:start w:val="1"/>
      <w:numFmt w:val="decimal"/>
      <w:pStyle w:val="TLTPartiesFrontSheet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52761"/>
    <w:multiLevelType w:val="multilevel"/>
    <w:tmpl w:val="0F745380"/>
    <w:styleLink w:val="Bullets"/>
    <w:lvl w:ilvl="0">
      <w:start w:val="1"/>
      <w:numFmt w:val="bullet"/>
      <w:pStyle w:val="TLTBulletsBody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>
      <w:start w:val="1"/>
      <w:numFmt w:val="bullet"/>
      <w:pStyle w:val="TLTBulletsLevel1"/>
      <w:lvlText w:val=""/>
      <w:lvlJc w:val="left"/>
      <w:pPr>
        <w:tabs>
          <w:tab w:val="num" w:pos="720"/>
        </w:tabs>
        <w:ind w:left="1803" w:hanging="1083"/>
      </w:pPr>
      <w:rPr>
        <w:rFonts w:ascii="Symbol" w:hAnsi="Symbol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</w:abstractNum>
  <w:abstractNum w:abstractNumId="2">
    <w:nsid w:val="08A95E8D"/>
    <w:multiLevelType w:val="multilevel"/>
    <w:tmpl w:val="A3B62992"/>
    <w:styleLink w:val="Appendix"/>
    <w:lvl w:ilvl="0">
      <w:start w:val="1"/>
      <w:numFmt w:val="decimal"/>
      <w:pStyle w:val="TLTAppendixText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TLTAppendixText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TLTAppendixText3"/>
      <w:lvlText w:val="%1.%2.%3"/>
      <w:lvlJc w:val="left"/>
      <w:pPr>
        <w:ind w:left="1803" w:hanging="1083"/>
      </w:pPr>
      <w:rPr>
        <w:rFonts w:hint="default"/>
      </w:rPr>
    </w:lvl>
    <w:lvl w:ilvl="3">
      <w:start w:val="1"/>
      <w:numFmt w:val="lowerLetter"/>
      <w:pStyle w:val="TLTAppendixText4"/>
      <w:lvlText w:val="(%4)"/>
      <w:lvlJc w:val="left"/>
      <w:pPr>
        <w:ind w:left="1803" w:hanging="1083"/>
      </w:pPr>
      <w:rPr>
        <w:rFonts w:hint="default"/>
      </w:rPr>
    </w:lvl>
    <w:lvl w:ilvl="4">
      <w:start w:val="1"/>
      <w:numFmt w:val="lowerRoman"/>
      <w:pStyle w:val="TLTAppendixText5"/>
      <w:lvlText w:val="(%5)"/>
      <w:lvlJc w:val="left"/>
      <w:pPr>
        <w:tabs>
          <w:tab w:val="num" w:pos="1803"/>
        </w:tabs>
        <w:ind w:left="2523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</w:abstractNum>
  <w:abstractNum w:abstractNumId="3">
    <w:nsid w:val="092E6DB4"/>
    <w:multiLevelType w:val="multilevel"/>
    <w:tmpl w:val="0F745380"/>
    <w:numStyleLink w:val="Bullets"/>
  </w:abstractNum>
  <w:abstractNum w:abstractNumId="4">
    <w:nsid w:val="0F893A90"/>
    <w:multiLevelType w:val="multilevel"/>
    <w:tmpl w:val="A984B39C"/>
    <w:styleLink w:val="Level"/>
    <w:lvl w:ilvl="0">
      <w:start w:val="1"/>
      <w:numFmt w:val="decimal"/>
      <w:pStyle w:val="TLTLevel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TLTLevel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TLTLevel3"/>
      <w:lvlText w:val="%1.%2.%3"/>
      <w:lvlJc w:val="left"/>
      <w:pPr>
        <w:ind w:left="1803" w:hanging="1083"/>
      </w:pPr>
      <w:rPr>
        <w:rFonts w:hint="default"/>
      </w:rPr>
    </w:lvl>
    <w:lvl w:ilvl="3">
      <w:start w:val="1"/>
      <w:numFmt w:val="lowerLetter"/>
      <w:pStyle w:val="TLTLevel4"/>
      <w:lvlText w:val="(%4)"/>
      <w:lvlJc w:val="left"/>
      <w:pPr>
        <w:ind w:left="1803" w:hanging="1083"/>
      </w:pPr>
      <w:rPr>
        <w:rFonts w:hint="default"/>
      </w:rPr>
    </w:lvl>
    <w:lvl w:ilvl="4">
      <w:start w:val="1"/>
      <w:numFmt w:val="lowerRoman"/>
      <w:pStyle w:val="TLTLevel5"/>
      <w:lvlText w:val="(%5)"/>
      <w:lvlJc w:val="left"/>
      <w:pPr>
        <w:ind w:left="2523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</w:abstractNum>
  <w:abstractNum w:abstractNumId="5">
    <w:nsid w:val="10F54341"/>
    <w:multiLevelType w:val="multilevel"/>
    <w:tmpl w:val="CC7AF39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803"/>
        </w:tabs>
        <w:ind w:left="1803" w:hanging="1083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803"/>
        </w:tabs>
        <w:ind w:left="1803" w:hanging="108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523"/>
        </w:tabs>
        <w:ind w:left="2523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6">
    <w:nsid w:val="18F06032"/>
    <w:multiLevelType w:val="hybridMultilevel"/>
    <w:tmpl w:val="F09AE0B8"/>
    <w:lvl w:ilvl="0" w:tplc="016AB07A">
      <w:start w:val="1"/>
      <w:numFmt w:val="upperLetter"/>
      <w:pStyle w:val="TOC3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7">
    <w:nsid w:val="1D160A00"/>
    <w:multiLevelType w:val="multilevel"/>
    <w:tmpl w:val="A3B62992"/>
    <w:numStyleLink w:val="Appendix"/>
  </w:abstractNum>
  <w:abstractNum w:abstractNumId="8">
    <w:nsid w:val="1EBB27DD"/>
    <w:multiLevelType w:val="multilevel"/>
    <w:tmpl w:val="0F745380"/>
    <w:numStyleLink w:val="Bullets"/>
  </w:abstractNum>
  <w:abstractNum w:abstractNumId="9">
    <w:nsid w:val="1F566CF2"/>
    <w:multiLevelType w:val="multilevel"/>
    <w:tmpl w:val="A3B62992"/>
    <w:numStyleLink w:val="Appendix"/>
  </w:abstractNum>
  <w:abstractNum w:abstractNumId="10">
    <w:nsid w:val="23116E6D"/>
    <w:multiLevelType w:val="multilevel"/>
    <w:tmpl w:val="28FEF948"/>
    <w:numStyleLink w:val="Appendixheading"/>
  </w:abstractNum>
  <w:abstractNum w:abstractNumId="11">
    <w:nsid w:val="2521121D"/>
    <w:multiLevelType w:val="multilevel"/>
    <w:tmpl w:val="9A0EAD0C"/>
    <w:styleLink w:val="Scheduleheading"/>
    <w:lvl w:ilvl="0">
      <w:start w:val="1"/>
      <w:numFmt w:val="decimal"/>
      <w:pStyle w:val="TLTScheduleHeading"/>
      <w:suff w:val="nothing"/>
      <w:lvlText w:val="Schedule %1"/>
      <w:lvlJc w:val="center"/>
      <w:pPr>
        <w:ind w:left="0" w:firstLine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8161C12"/>
    <w:multiLevelType w:val="multilevel"/>
    <w:tmpl w:val="72B2A5CE"/>
    <w:styleLink w:val="Scheduletext"/>
    <w:lvl w:ilvl="0">
      <w:start w:val="1"/>
      <w:numFmt w:val="decimal"/>
      <w:pStyle w:val="TLTScheduleText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TLTScheduleText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TLTScheduleText3"/>
      <w:lvlText w:val="%1.%2.%3"/>
      <w:lvlJc w:val="left"/>
      <w:pPr>
        <w:ind w:left="1803" w:hanging="1083"/>
      </w:pPr>
      <w:rPr>
        <w:rFonts w:hint="default"/>
      </w:rPr>
    </w:lvl>
    <w:lvl w:ilvl="3">
      <w:start w:val="1"/>
      <w:numFmt w:val="lowerLetter"/>
      <w:pStyle w:val="TLTScheduleText4"/>
      <w:lvlText w:val="(%4)"/>
      <w:lvlJc w:val="left"/>
      <w:pPr>
        <w:ind w:left="1803" w:hanging="1083"/>
      </w:pPr>
      <w:rPr>
        <w:rFonts w:hint="default"/>
      </w:rPr>
    </w:lvl>
    <w:lvl w:ilvl="4">
      <w:start w:val="1"/>
      <w:numFmt w:val="lowerRoman"/>
      <w:pStyle w:val="TLTScheduleText5"/>
      <w:lvlText w:val="(%5)"/>
      <w:lvlJc w:val="left"/>
      <w:pPr>
        <w:tabs>
          <w:tab w:val="num" w:pos="1803"/>
        </w:tabs>
        <w:ind w:left="2523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</w:abstractNum>
  <w:abstractNum w:abstractNumId="13">
    <w:nsid w:val="2CE46DE7"/>
    <w:multiLevelType w:val="hybridMultilevel"/>
    <w:tmpl w:val="096A6644"/>
    <w:lvl w:ilvl="0" w:tplc="5C6CF7A0">
      <w:start w:val="1"/>
      <w:numFmt w:val="decimal"/>
      <w:pStyle w:val="TLTPartiesBodyText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4734A5"/>
    <w:multiLevelType w:val="hybridMultilevel"/>
    <w:tmpl w:val="A4980EF0"/>
    <w:lvl w:ilvl="0" w:tplc="180A989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38B28A5"/>
    <w:multiLevelType w:val="multilevel"/>
    <w:tmpl w:val="28FEF948"/>
    <w:styleLink w:val="Appendixheading"/>
    <w:lvl w:ilvl="0">
      <w:start w:val="1"/>
      <w:numFmt w:val="upperLetter"/>
      <w:pStyle w:val="TLTAppendixHeading"/>
      <w:suff w:val="nothing"/>
      <w:lvlText w:val="Appendix %1"/>
      <w:lvlJc w:val="center"/>
      <w:pPr>
        <w:ind w:left="0" w:firstLine="56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6">
    <w:nsid w:val="37196FBE"/>
    <w:multiLevelType w:val="multilevel"/>
    <w:tmpl w:val="212C096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803"/>
        </w:tabs>
        <w:ind w:left="1803" w:hanging="1083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803"/>
        </w:tabs>
        <w:ind w:left="1803" w:hanging="108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523"/>
        </w:tabs>
        <w:ind w:left="2523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17">
    <w:nsid w:val="380421E4"/>
    <w:multiLevelType w:val="multilevel"/>
    <w:tmpl w:val="72B2A5CE"/>
    <w:numStyleLink w:val="Scheduletext"/>
  </w:abstractNum>
  <w:abstractNum w:abstractNumId="18">
    <w:nsid w:val="44C744C2"/>
    <w:multiLevelType w:val="multilevel"/>
    <w:tmpl w:val="0374D89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803"/>
        </w:tabs>
        <w:ind w:left="1803" w:hanging="1083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803"/>
        </w:tabs>
        <w:ind w:left="1803" w:hanging="108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523"/>
        </w:tabs>
        <w:ind w:left="2523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5760" w:hanging="1440"/>
      </w:pPr>
      <w:rPr>
        <w:rFonts w:hint="default"/>
      </w:rPr>
    </w:lvl>
  </w:abstractNum>
  <w:abstractNum w:abstractNumId="19">
    <w:nsid w:val="47665FD0"/>
    <w:multiLevelType w:val="multilevel"/>
    <w:tmpl w:val="5C129AB6"/>
    <w:styleLink w:val="Definitions"/>
    <w:lvl w:ilvl="0">
      <w:start w:val="1"/>
      <w:numFmt w:val="lowerLetter"/>
      <w:pStyle w:val="TLTDefinitionList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Roman"/>
      <w:pStyle w:val="TLTDefinitionListLevel1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</w:abstractNum>
  <w:abstractNum w:abstractNumId="20">
    <w:nsid w:val="49DA6B8B"/>
    <w:multiLevelType w:val="multilevel"/>
    <w:tmpl w:val="0F745380"/>
    <w:numStyleLink w:val="Bullets"/>
  </w:abstractNum>
  <w:abstractNum w:abstractNumId="21">
    <w:nsid w:val="4A4E5640"/>
    <w:multiLevelType w:val="multilevel"/>
    <w:tmpl w:val="A984B39C"/>
    <w:numStyleLink w:val="Level"/>
  </w:abstractNum>
  <w:abstractNum w:abstractNumId="22">
    <w:nsid w:val="50051A74"/>
    <w:multiLevelType w:val="multilevel"/>
    <w:tmpl w:val="A3B62992"/>
    <w:numStyleLink w:val="Appendix"/>
  </w:abstractNum>
  <w:abstractNum w:abstractNumId="23">
    <w:nsid w:val="52E678B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9E91692"/>
    <w:multiLevelType w:val="multilevel"/>
    <w:tmpl w:val="0F745380"/>
    <w:numStyleLink w:val="Bullets"/>
  </w:abstractNum>
  <w:abstractNum w:abstractNumId="25">
    <w:nsid w:val="5B2738BE"/>
    <w:multiLevelType w:val="multilevel"/>
    <w:tmpl w:val="0F745380"/>
    <w:numStyleLink w:val="Bullets"/>
  </w:abstractNum>
  <w:abstractNum w:abstractNumId="26">
    <w:nsid w:val="61C92B75"/>
    <w:multiLevelType w:val="multilevel"/>
    <w:tmpl w:val="5C129AB6"/>
    <w:numStyleLink w:val="Definitions"/>
  </w:abstractNum>
  <w:abstractNum w:abstractNumId="27">
    <w:nsid w:val="64240585"/>
    <w:multiLevelType w:val="multilevel"/>
    <w:tmpl w:val="B54820E8"/>
    <w:lvl w:ilvl="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6A7D0228"/>
    <w:multiLevelType w:val="multilevel"/>
    <w:tmpl w:val="72B2A5CE"/>
    <w:numStyleLink w:val="Scheduletext"/>
  </w:abstractNum>
  <w:abstractNum w:abstractNumId="29">
    <w:nsid w:val="702C2885"/>
    <w:multiLevelType w:val="multilevel"/>
    <w:tmpl w:val="0F745380"/>
    <w:numStyleLink w:val="Bullets"/>
  </w:abstractNum>
  <w:abstractNum w:abstractNumId="30">
    <w:nsid w:val="71A93C1C"/>
    <w:multiLevelType w:val="hybridMultilevel"/>
    <w:tmpl w:val="74A2FB96"/>
    <w:lvl w:ilvl="0" w:tplc="2B724192">
      <w:start w:val="1"/>
      <w:numFmt w:val="decimal"/>
      <w:pStyle w:val="TOC2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560AD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3CC24B1"/>
    <w:multiLevelType w:val="multilevel"/>
    <w:tmpl w:val="5C129AB6"/>
    <w:numStyleLink w:val="Definitions"/>
  </w:abstractNum>
  <w:abstractNum w:abstractNumId="33">
    <w:nsid w:val="7C2F7A72"/>
    <w:multiLevelType w:val="hybridMultilevel"/>
    <w:tmpl w:val="53AEC332"/>
    <w:lvl w:ilvl="0" w:tplc="9FF6449A">
      <w:start w:val="1"/>
      <w:numFmt w:val="upperLetter"/>
      <w:pStyle w:val="TLTRecitals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2F4496"/>
    <w:multiLevelType w:val="hybridMultilevel"/>
    <w:tmpl w:val="9BC6A3D4"/>
    <w:lvl w:ilvl="0" w:tplc="3918C5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E33748"/>
    <w:multiLevelType w:val="hybridMultilevel"/>
    <w:tmpl w:val="2C308F7A"/>
    <w:lvl w:ilvl="0" w:tplc="80969DB6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D60FC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34"/>
  </w:num>
  <w:num w:numId="7">
    <w:abstractNumId w:val="14"/>
  </w:num>
  <w:num w:numId="8">
    <w:abstractNumId w:val="35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13"/>
  </w:num>
  <w:num w:numId="15">
    <w:abstractNumId w:val="0"/>
  </w:num>
  <w:num w:numId="16">
    <w:abstractNumId w:val="33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30"/>
  </w:num>
  <w:num w:numId="23">
    <w:abstractNumId w:val="6"/>
  </w:num>
  <w:num w:numId="24">
    <w:abstractNumId w:val="16"/>
  </w:num>
  <w:num w:numId="25">
    <w:abstractNumId w:val="4"/>
  </w:num>
  <w:num w:numId="26">
    <w:abstractNumId w:val="12"/>
  </w:num>
  <w:num w:numId="27">
    <w:abstractNumId w:val="2"/>
  </w:num>
  <w:num w:numId="28">
    <w:abstractNumId w:val="31"/>
  </w:num>
  <w:num w:numId="29">
    <w:abstractNumId w:val="15"/>
  </w:num>
  <w:num w:numId="30">
    <w:abstractNumId w:val="11"/>
  </w:num>
  <w:num w:numId="31">
    <w:abstractNumId w:val="1"/>
  </w:num>
  <w:num w:numId="32">
    <w:abstractNumId w:val="3"/>
  </w:num>
  <w:num w:numId="33">
    <w:abstractNumId w:val="23"/>
  </w:num>
  <w:num w:numId="34">
    <w:abstractNumId w:val="8"/>
  </w:num>
  <w:num w:numId="35">
    <w:abstractNumId w:val="24"/>
  </w:num>
  <w:num w:numId="36">
    <w:abstractNumId w:val="36"/>
  </w:num>
  <w:num w:numId="37">
    <w:abstractNumId w:val="19"/>
  </w:num>
  <w:num w:numId="38">
    <w:abstractNumId w:val="27"/>
  </w:num>
  <w:num w:numId="39">
    <w:abstractNumId w:val="32"/>
  </w:num>
  <w:num w:numId="40">
    <w:abstractNumId w:val="22"/>
  </w:num>
  <w:num w:numId="41">
    <w:abstractNumId w:val="21"/>
  </w:num>
  <w:num w:numId="42">
    <w:abstractNumId w:val="28"/>
  </w:num>
  <w:num w:numId="43">
    <w:abstractNumId w:val="25"/>
  </w:num>
  <w:num w:numId="44">
    <w:abstractNumId w:val="20"/>
  </w:num>
  <w:num w:numId="45">
    <w:abstractNumId w:val="26"/>
  </w:num>
  <w:num w:numId="46">
    <w:abstractNumId w:val="7"/>
  </w:num>
  <w:num w:numId="47">
    <w:abstractNumId w:val="10"/>
  </w:num>
  <w:num w:numId="48">
    <w:abstractNumId w:val="29"/>
  </w:num>
  <w:num w:numId="49">
    <w:abstractNumId w:val="9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LockTheme/>
  <w:styleLockQFSet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72"/>
    <w:rsid w:val="000519A1"/>
    <w:rsid w:val="000634EC"/>
    <w:rsid w:val="00070972"/>
    <w:rsid w:val="00087095"/>
    <w:rsid w:val="000D56D3"/>
    <w:rsid w:val="000E45D4"/>
    <w:rsid w:val="000F3AB5"/>
    <w:rsid w:val="00103929"/>
    <w:rsid w:val="001443F1"/>
    <w:rsid w:val="00164B55"/>
    <w:rsid w:val="001D0BB0"/>
    <w:rsid w:val="00204630"/>
    <w:rsid w:val="0021298D"/>
    <w:rsid w:val="00227DDF"/>
    <w:rsid w:val="002352FD"/>
    <w:rsid w:val="002516E9"/>
    <w:rsid w:val="00295078"/>
    <w:rsid w:val="002A042A"/>
    <w:rsid w:val="002B70A1"/>
    <w:rsid w:val="002F70AA"/>
    <w:rsid w:val="003171CD"/>
    <w:rsid w:val="0032546A"/>
    <w:rsid w:val="003623BD"/>
    <w:rsid w:val="00367ADA"/>
    <w:rsid w:val="00391442"/>
    <w:rsid w:val="003A523B"/>
    <w:rsid w:val="003B3E84"/>
    <w:rsid w:val="003D2295"/>
    <w:rsid w:val="003F6FD7"/>
    <w:rsid w:val="00415592"/>
    <w:rsid w:val="00416A19"/>
    <w:rsid w:val="00446CA5"/>
    <w:rsid w:val="00452691"/>
    <w:rsid w:val="004851F4"/>
    <w:rsid w:val="00487EB3"/>
    <w:rsid w:val="004B0BED"/>
    <w:rsid w:val="00517B51"/>
    <w:rsid w:val="005412F0"/>
    <w:rsid w:val="00542498"/>
    <w:rsid w:val="005A0393"/>
    <w:rsid w:val="005B0EBD"/>
    <w:rsid w:val="005B33FB"/>
    <w:rsid w:val="005E5DCE"/>
    <w:rsid w:val="005E7444"/>
    <w:rsid w:val="006020B6"/>
    <w:rsid w:val="00631E92"/>
    <w:rsid w:val="00640555"/>
    <w:rsid w:val="00694D7D"/>
    <w:rsid w:val="006B5C33"/>
    <w:rsid w:val="006E253E"/>
    <w:rsid w:val="006F2572"/>
    <w:rsid w:val="006F6713"/>
    <w:rsid w:val="0071046D"/>
    <w:rsid w:val="00722088"/>
    <w:rsid w:val="00735596"/>
    <w:rsid w:val="00774DFF"/>
    <w:rsid w:val="00782BA5"/>
    <w:rsid w:val="007C766F"/>
    <w:rsid w:val="007D3927"/>
    <w:rsid w:val="00812B12"/>
    <w:rsid w:val="00813A9E"/>
    <w:rsid w:val="00842C59"/>
    <w:rsid w:val="008953AA"/>
    <w:rsid w:val="008C66A5"/>
    <w:rsid w:val="008D32BC"/>
    <w:rsid w:val="008E30FB"/>
    <w:rsid w:val="0092520A"/>
    <w:rsid w:val="00931E04"/>
    <w:rsid w:val="0093284C"/>
    <w:rsid w:val="0097481B"/>
    <w:rsid w:val="009F50C1"/>
    <w:rsid w:val="00A23059"/>
    <w:rsid w:val="00A2340A"/>
    <w:rsid w:val="00A314E6"/>
    <w:rsid w:val="00A56BA5"/>
    <w:rsid w:val="00AE2E3C"/>
    <w:rsid w:val="00B31AB9"/>
    <w:rsid w:val="00B628FA"/>
    <w:rsid w:val="00BD2C97"/>
    <w:rsid w:val="00BE089E"/>
    <w:rsid w:val="00BE2C4F"/>
    <w:rsid w:val="00BF08D4"/>
    <w:rsid w:val="00BF2A4C"/>
    <w:rsid w:val="00C065F6"/>
    <w:rsid w:val="00C33860"/>
    <w:rsid w:val="00C57D36"/>
    <w:rsid w:val="00CB3B5A"/>
    <w:rsid w:val="00CE16B9"/>
    <w:rsid w:val="00CE6165"/>
    <w:rsid w:val="00D33926"/>
    <w:rsid w:val="00D65B1E"/>
    <w:rsid w:val="00D75B23"/>
    <w:rsid w:val="00D77355"/>
    <w:rsid w:val="00D817EE"/>
    <w:rsid w:val="00D84D60"/>
    <w:rsid w:val="00D932E2"/>
    <w:rsid w:val="00DE34F4"/>
    <w:rsid w:val="00E271D9"/>
    <w:rsid w:val="00E37DFA"/>
    <w:rsid w:val="00E64BC4"/>
    <w:rsid w:val="00E72172"/>
    <w:rsid w:val="00E85BBA"/>
    <w:rsid w:val="00EB2B3B"/>
    <w:rsid w:val="00EB40CC"/>
    <w:rsid w:val="00F13A3D"/>
    <w:rsid w:val="00F22CD2"/>
    <w:rsid w:val="00F3639C"/>
    <w:rsid w:val="00FB1BB2"/>
    <w:rsid w:val="00FB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GB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1"/>
    <w:lsdException w:name="caption" w:uiPriority="35" w:qFormat="1"/>
    <w:lsdException w:name="footnote reference" w:unhideWhenUsed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LTAction">
    <w:name w:val="TLT Action"/>
    <w:basedOn w:val="Normal"/>
    <w:next w:val="TLTBodyText"/>
    <w:pPr>
      <w:spacing w:before="100"/>
      <w:jc w:val="right"/>
    </w:pPr>
    <w:rPr>
      <w:rFonts w:eastAsia="Times New Roman" w:cs="Times New Roman"/>
      <w:b/>
      <w:szCs w:val="24"/>
      <w:lang w:eastAsia="en-GB"/>
    </w:rPr>
  </w:style>
  <w:style w:type="paragraph" w:customStyle="1" w:styleId="TLTAdditional">
    <w:name w:val="TLT Additional"/>
    <w:basedOn w:val="Normal"/>
    <w:pPr>
      <w:spacing w:before="300" w:after="300"/>
    </w:pPr>
    <w:rPr>
      <w:rFonts w:eastAsia="Times New Roman" w:cs="Times New Roman"/>
      <w:b/>
      <w:szCs w:val="24"/>
      <w:lang w:eastAsia="en-GB"/>
    </w:rPr>
  </w:style>
  <w:style w:type="paragraph" w:customStyle="1" w:styleId="TLTAddress">
    <w:name w:val="TLT Address"/>
    <w:basedOn w:val="Normal"/>
    <w:rPr>
      <w:rFonts w:eastAsia="Times New Roman" w:cs="Times New Roman"/>
      <w:szCs w:val="24"/>
      <w:lang w:eastAsia="en-GB"/>
    </w:rPr>
  </w:style>
  <w:style w:type="paragraph" w:customStyle="1" w:styleId="TLTAppendixHeading">
    <w:name w:val="TLT Appendix Heading"/>
    <w:basedOn w:val="Normal"/>
    <w:next w:val="TLTAppendixSubHeading"/>
    <w:pPr>
      <w:numPr>
        <w:numId w:val="47"/>
      </w:numPr>
      <w:spacing w:before="100" w:after="3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TLTAppendixSubHeading">
    <w:name w:val="TLT Appendix Sub Heading"/>
    <w:basedOn w:val="Normal"/>
    <w:next w:val="TLTBodyText"/>
    <w:pPr>
      <w:spacing w:before="100" w:after="3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TLTAppendixText1">
    <w:name w:val="TLT Appendix Text 1"/>
    <w:basedOn w:val="Normal"/>
    <w:next w:val="TLTBodyText1"/>
    <w:pPr>
      <w:numPr>
        <w:numId w:val="49"/>
      </w:numPr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TLTAppendixText2">
    <w:name w:val="TLT Appendix Text 2"/>
    <w:basedOn w:val="TLTAppendixText1"/>
    <w:next w:val="TLTBodyText2"/>
    <w:pPr>
      <w:numPr>
        <w:ilvl w:val="1"/>
      </w:numPr>
    </w:pPr>
  </w:style>
  <w:style w:type="paragraph" w:customStyle="1" w:styleId="TLTAppendixText3">
    <w:name w:val="TLT Appendix Text 3"/>
    <w:basedOn w:val="TLTLevel3"/>
    <w:next w:val="TLTBodyText3"/>
    <w:pPr>
      <w:numPr>
        <w:numId w:val="49"/>
      </w:numPr>
    </w:pPr>
  </w:style>
  <w:style w:type="paragraph" w:customStyle="1" w:styleId="TLTAppendixText4">
    <w:name w:val="TLT Appendix Text 4"/>
    <w:basedOn w:val="TLTLevel4"/>
    <w:next w:val="TLTBodyText4"/>
    <w:pPr>
      <w:numPr>
        <w:numId w:val="49"/>
      </w:numPr>
    </w:pPr>
  </w:style>
  <w:style w:type="paragraph" w:customStyle="1" w:styleId="TLTAppendixText5">
    <w:name w:val="TLT Appendix Text 5"/>
    <w:basedOn w:val="TLTLevel5"/>
    <w:next w:val="TLTBodyText5"/>
    <w:pPr>
      <w:numPr>
        <w:numId w:val="49"/>
      </w:numPr>
    </w:pPr>
  </w:style>
  <w:style w:type="paragraph" w:customStyle="1" w:styleId="TLTBlankDocumentTitle">
    <w:name w:val="TLT Blank Document Title"/>
    <w:basedOn w:val="Normal"/>
    <w:next w:val="TLTBodyText"/>
    <w:pPr>
      <w:spacing w:after="2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TLTBodyText">
    <w:name w:val="TLT Body Text"/>
    <w:basedOn w:val="Normal"/>
    <w:link w:val="TLTBodyTextChar"/>
    <w:qFormat/>
    <w:pPr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TLTBodyText1">
    <w:name w:val="TLT Body Text 1"/>
    <w:basedOn w:val="TLTBodyText"/>
    <w:pPr>
      <w:ind w:left="720"/>
    </w:pPr>
  </w:style>
  <w:style w:type="paragraph" w:customStyle="1" w:styleId="TLTBodyText2">
    <w:name w:val="TLT Body Text 2"/>
    <w:basedOn w:val="TLTBodyText1"/>
  </w:style>
  <w:style w:type="paragraph" w:customStyle="1" w:styleId="TLTBodyText3">
    <w:name w:val="TLT Body Text 3"/>
    <w:basedOn w:val="TLTBodyText2"/>
    <w:pPr>
      <w:ind w:left="1803"/>
    </w:pPr>
  </w:style>
  <w:style w:type="paragraph" w:customStyle="1" w:styleId="TLTBodyText4">
    <w:name w:val="TLT Body Text 4"/>
    <w:basedOn w:val="TLTBodyText3"/>
  </w:style>
  <w:style w:type="paragraph" w:customStyle="1" w:styleId="TLTBodyText5">
    <w:name w:val="TLT Body Text 5"/>
    <w:basedOn w:val="TLTBodyText4"/>
    <w:pPr>
      <w:ind w:left="2523"/>
    </w:pPr>
  </w:style>
  <w:style w:type="paragraph" w:customStyle="1" w:styleId="TLTBodyTextBold">
    <w:name w:val="TLT Body Text Bold"/>
    <w:basedOn w:val="Normal"/>
    <w:next w:val="TLTBodyText"/>
    <w:link w:val="TLTBodyTextBoldChar"/>
    <w:qFormat/>
    <w:pPr>
      <w:spacing w:before="100" w:after="200"/>
    </w:pPr>
    <w:rPr>
      <w:rFonts w:eastAsia="Times New Roman" w:cs="Times New Roman"/>
      <w:b/>
      <w:szCs w:val="24"/>
      <w:lang w:eastAsia="en-GB"/>
    </w:rPr>
  </w:style>
  <w:style w:type="character" w:customStyle="1" w:styleId="TLTBodyTextBoldChar">
    <w:name w:val="TLT Body Text Bold Char"/>
    <w:basedOn w:val="DefaultParagraphFont"/>
    <w:link w:val="TLTBodyTextBold"/>
    <w:rPr>
      <w:rFonts w:eastAsia="Times New Roman" w:cs="Times New Roman"/>
      <w:b/>
      <w:szCs w:val="24"/>
      <w:lang w:eastAsia="en-GB"/>
    </w:rPr>
  </w:style>
  <w:style w:type="paragraph" w:customStyle="1" w:styleId="TLTBulletsBody">
    <w:name w:val="TLT Bullets Body"/>
    <w:basedOn w:val="TLTBodyText"/>
    <w:pPr>
      <w:numPr>
        <w:numId w:val="48"/>
      </w:numPr>
    </w:pPr>
  </w:style>
  <w:style w:type="paragraph" w:customStyle="1" w:styleId="TLTBulletsLevel1">
    <w:name w:val="TLT Bullets Level 1"/>
    <w:basedOn w:val="TLTBodyText1"/>
    <w:pPr>
      <w:numPr>
        <w:ilvl w:val="1"/>
        <w:numId w:val="48"/>
      </w:numPr>
      <w:tabs>
        <w:tab w:val="left" w:pos="1797"/>
      </w:tabs>
    </w:pPr>
  </w:style>
  <w:style w:type="paragraph" w:customStyle="1" w:styleId="TLTCentered">
    <w:name w:val="TLT Centered"/>
    <w:basedOn w:val="Normal"/>
    <w:next w:val="TLTBodyText"/>
    <w:pPr>
      <w:spacing w:before="100" w:after="200"/>
      <w:jc w:val="center"/>
    </w:pPr>
    <w:rPr>
      <w:rFonts w:eastAsia="Times New Roman" w:cs="Times New Roman"/>
      <w:szCs w:val="24"/>
      <w:lang w:eastAsia="en-GB"/>
    </w:rPr>
  </w:style>
  <w:style w:type="paragraph" w:customStyle="1" w:styleId="TLTCentre">
    <w:name w:val="TLT Centre"/>
    <w:basedOn w:val="Normal"/>
    <w:next w:val="TLTCourtParties"/>
    <w:pPr>
      <w:spacing w:before="100" w:after="600"/>
      <w:jc w:val="center"/>
    </w:pPr>
    <w:rPr>
      <w:rFonts w:eastAsia="Times New Roman" w:cs="Times New Roman"/>
      <w:szCs w:val="24"/>
      <w:lang w:eastAsia="en-GB"/>
    </w:rPr>
  </w:style>
  <w:style w:type="paragraph" w:customStyle="1" w:styleId="TLTCentreBack">
    <w:name w:val="TLT Centre Back"/>
    <w:basedOn w:val="Normal"/>
    <w:next w:val="TLTCourtPartiesBack"/>
    <w:pPr>
      <w:spacing w:before="100" w:after="600"/>
    </w:pPr>
    <w:rPr>
      <w:rFonts w:eastAsia="Times New Roman" w:cs="Times New Roman"/>
      <w:szCs w:val="24"/>
      <w:lang w:eastAsia="en-GB"/>
    </w:rPr>
  </w:style>
  <w:style w:type="paragraph" w:customStyle="1" w:styleId="TLTContentsHeading">
    <w:name w:val="TLT Contents Heading"/>
    <w:basedOn w:val="Normal"/>
    <w:next w:val="TLTContentsSubHeading"/>
    <w:pPr>
      <w:spacing w:before="100" w:after="2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TLTContentsSubHeading">
    <w:name w:val="TLT Contents Sub Heading"/>
    <w:basedOn w:val="Normal"/>
    <w:next w:val="TLTBodyText"/>
    <w:pPr>
      <w:spacing w:before="400" w:after="200"/>
    </w:pPr>
    <w:rPr>
      <w:rFonts w:eastAsia="Times New Roman" w:cs="Times New Roman"/>
      <w:b/>
      <w:szCs w:val="24"/>
      <w:lang w:eastAsia="en-GB"/>
    </w:rPr>
  </w:style>
  <w:style w:type="paragraph" w:customStyle="1" w:styleId="TLTCourtDetails">
    <w:name w:val="TLT Court Details"/>
    <w:basedOn w:val="Normal"/>
    <w:pPr>
      <w:spacing w:before="100" w:after="200"/>
    </w:pPr>
    <w:rPr>
      <w:rFonts w:eastAsia="Times New Roman" w:cs="Times New Roman"/>
      <w:b/>
      <w:caps/>
      <w:szCs w:val="24"/>
      <w:lang w:eastAsia="en-GB"/>
    </w:rPr>
  </w:style>
  <w:style w:type="paragraph" w:customStyle="1" w:styleId="TLTCourtHeading">
    <w:name w:val="TLT Court Heading"/>
    <w:basedOn w:val="Normal"/>
    <w:pPr>
      <w:spacing w:before="100" w:after="200"/>
      <w:jc w:val="center"/>
    </w:pPr>
    <w:rPr>
      <w:rFonts w:eastAsia="Times New Roman" w:cs="Times New Roman"/>
      <w:b/>
      <w:caps/>
      <w:szCs w:val="24"/>
      <w:lang w:eastAsia="en-GB"/>
    </w:rPr>
  </w:style>
  <w:style w:type="paragraph" w:customStyle="1" w:styleId="TLTCourtParties">
    <w:name w:val="TLT Court Parties"/>
    <w:basedOn w:val="Normal"/>
    <w:next w:val="TLTLitigant"/>
    <w:pPr>
      <w:spacing w:before="100" w:after="200"/>
      <w:jc w:val="center"/>
    </w:pPr>
    <w:rPr>
      <w:rFonts w:eastAsia="Times New Roman" w:cs="Times New Roman"/>
      <w:b/>
      <w:caps/>
      <w:szCs w:val="24"/>
      <w:lang w:eastAsia="en-GB"/>
    </w:rPr>
  </w:style>
  <w:style w:type="paragraph" w:customStyle="1" w:styleId="TLTCourtPartiesBack">
    <w:name w:val="TLT Court Parties Back"/>
    <w:basedOn w:val="Normal"/>
    <w:next w:val="TLTLitigant"/>
    <w:pPr>
      <w:spacing w:before="100" w:after="200"/>
    </w:pPr>
    <w:rPr>
      <w:rFonts w:eastAsia="Times New Roman" w:cs="Times New Roman"/>
      <w:b/>
      <w:caps/>
      <w:szCs w:val="24"/>
      <w:lang w:eastAsia="en-GB"/>
    </w:rPr>
  </w:style>
  <w:style w:type="paragraph" w:customStyle="1" w:styleId="TLTCourtReference">
    <w:name w:val="TLT Court Reference"/>
    <w:basedOn w:val="Normal"/>
    <w:next w:val="TLTCourtDetails"/>
    <w:pPr>
      <w:spacing w:before="100" w:after="200"/>
      <w:jc w:val="right"/>
    </w:pPr>
    <w:rPr>
      <w:rFonts w:eastAsia="Times New Roman" w:cs="Times New Roman"/>
      <w:b/>
      <w:caps/>
      <w:szCs w:val="24"/>
      <w:lang w:eastAsia="en-GB"/>
    </w:rPr>
  </w:style>
  <w:style w:type="paragraph" w:customStyle="1" w:styleId="TLTCoverDetails">
    <w:name w:val="TLT Cover Details"/>
    <w:basedOn w:val="Normal"/>
    <w:pPr>
      <w:tabs>
        <w:tab w:val="left" w:pos="3612"/>
      </w:tabs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TLTDefinitionList">
    <w:name w:val="TLT Definition List"/>
    <w:basedOn w:val="Normal"/>
    <w:pPr>
      <w:numPr>
        <w:numId w:val="45"/>
      </w:numPr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TLTDelivery">
    <w:name w:val="TLT Delivery"/>
    <w:basedOn w:val="Normal"/>
    <w:pPr>
      <w:spacing w:before="600" w:after="400"/>
    </w:pPr>
    <w:rPr>
      <w:rFonts w:eastAsia="Times New Roman" w:cs="Times New Roman"/>
      <w:b/>
      <w:szCs w:val="24"/>
      <w:lang w:eastAsia="en-GB"/>
    </w:rPr>
  </w:style>
  <w:style w:type="paragraph" w:customStyle="1" w:styleId="TLTDetails">
    <w:name w:val="TLT Details"/>
    <w:basedOn w:val="Normal"/>
    <w:pPr>
      <w:spacing w:line="300" w:lineRule="exact"/>
    </w:pPr>
    <w:rPr>
      <w:rFonts w:eastAsia="Times New Roman" w:cs="Times New Roman"/>
      <w:szCs w:val="24"/>
      <w:lang w:eastAsia="en-GB"/>
    </w:rPr>
  </w:style>
  <w:style w:type="paragraph" w:customStyle="1" w:styleId="TLTDocRef">
    <w:name w:val="TLT Doc Ref"/>
    <w:basedOn w:val="Normal"/>
    <w:rPr>
      <w:rFonts w:eastAsia="Times New Roman" w:cs="Times New Roman"/>
      <w:sz w:val="12"/>
      <w:szCs w:val="24"/>
      <w:lang w:eastAsia="en-GB"/>
    </w:rPr>
  </w:style>
  <w:style w:type="paragraph" w:customStyle="1" w:styleId="TLTEnc">
    <w:name w:val="TLT Enc"/>
    <w:basedOn w:val="Normal"/>
    <w:pPr>
      <w:tabs>
        <w:tab w:val="left" w:pos="720"/>
      </w:tabs>
    </w:pPr>
    <w:rPr>
      <w:rFonts w:eastAsia="Times New Roman" w:cs="Times New Roman"/>
      <w:szCs w:val="24"/>
      <w:lang w:eastAsia="en-GB"/>
    </w:rPr>
  </w:style>
  <w:style w:type="paragraph" w:customStyle="1" w:styleId="TLTExecution">
    <w:name w:val="TLT Execution"/>
    <w:basedOn w:val="Normal"/>
    <w:pPr>
      <w:spacing w:before="100" w:after="200"/>
    </w:pPr>
    <w:rPr>
      <w:rFonts w:eastAsia="Times New Roman" w:cs="Times New Roman"/>
      <w:sz w:val="16"/>
      <w:szCs w:val="24"/>
      <w:lang w:eastAsia="en-GB"/>
    </w:rPr>
  </w:style>
  <w:style w:type="paragraph" w:customStyle="1" w:styleId="TLTFAO">
    <w:name w:val="TLT FAO"/>
    <w:basedOn w:val="TLTAddress"/>
    <w:rPr>
      <w:b/>
    </w:rPr>
  </w:style>
  <w:style w:type="paragraph" w:customStyle="1" w:styleId="TLTFaxStatus">
    <w:name w:val="TLT Fax Status"/>
    <w:basedOn w:val="Normal"/>
    <w:pPr>
      <w:spacing w:before="200"/>
    </w:pPr>
    <w:rPr>
      <w:rFonts w:eastAsia="Times New Roman" w:cs="Times New Roman"/>
      <w:b/>
      <w:szCs w:val="24"/>
      <w:lang w:eastAsia="en-GB"/>
    </w:rPr>
  </w:style>
  <w:style w:type="paragraph" w:customStyle="1" w:styleId="TLTFaxSubject">
    <w:name w:val="TLT Fax Subject"/>
    <w:basedOn w:val="Normal"/>
    <w:pPr>
      <w:spacing w:before="200"/>
    </w:pPr>
    <w:rPr>
      <w:rFonts w:eastAsia="Times New Roman" w:cs="Times New Roman"/>
      <w:b/>
      <w:szCs w:val="24"/>
      <w:lang w:eastAsia="en-GB"/>
    </w:rPr>
  </w:style>
  <w:style w:type="paragraph" w:customStyle="1" w:styleId="TLTHeading1">
    <w:name w:val="TLT Heading 1"/>
    <w:basedOn w:val="Normal"/>
    <w:next w:val="TLTBodyText"/>
    <w:pPr>
      <w:keepNext/>
      <w:spacing w:before="300" w:after="100"/>
    </w:pPr>
    <w:rPr>
      <w:rFonts w:eastAsia="Times New Roman" w:cs="Times New Roman"/>
      <w:b/>
      <w:szCs w:val="24"/>
      <w:lang w:eastAsia="en-GB"/>
    </w:rPr>
  </w:style>
  <w:style w:type="paragraph" w:customStyle="1" w:styleId="TLTHeading2">
    <w:name w:val="TLT Heading 2"/>
    <w:basedOn w:val="Normal"/>
    <w:next w:val="TLTBodyText"/>
    <w:pPr>
      <w:keepNext/>
      <w:spacing w:before="100" w:after="200"/>
    </w:pPr>
    <w:rPr>
      <w:rFonts w:eastAsia="Times New Roman" w:cs="Times New Roman"/>
      <w:i/>
      <w:szCs w:val="24"/>
      <w:lang w:eastAsia="en-GB"/>
    </w:rPr>
  </w:style>
  <w:style w:type="paragraph" w:customStyle="1" w:styleId="TLTLegalReportHeading">
    <w:name w:val="TLT Legal Report Heading"/>
    <w:basedOn w:val="Normal"/>
    <w:next w:val="TLTBodyText"/>
    <w:pPr>
      <w:spacing w:before="100" w:after="2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TLTLetterTitle">
    <w:name w:val="TLT Letter Title"/>
    <w:basedOn w:val="Normal"/>
    <w:next w:val="TLTBodyText"/>
    <w:pPr>
      <w:spacing w:before="100" w:after="200"/>
    </w:pPr>
    <w:rPr>
      <w:rFonts w:eastAsia="Times New Roman" w:cs="Times New Roman"/>
      <w:b/>
      <w:szCs w:val="24"/>
      <w:lang w:eastAsia="en-GB"/>
    </w:rPr>
  </w:style>
  <w:style w:type="paragraph" w:customStyle="1" w:styleId="TLTLevel1">
    <w:name w:val="TLT Level 1"/>
    <w:basedOn w:val="TLTBodyText"/>
    <w:next w:val="TLTBodyText1"/>
    <w:qFormat/>
    <w:pPr>
      <w:numPr>
        <w:numId w:val="41"/>
      </w:numPr>
      <w:tabs>
        <w:tab w:val="left" w:pos="720"/>
      </w:tabs>
    </w:pPr>
  </w:style>
  <w:style w:type="paragraph" w:customStyle="1" w:styleId="TLTLevel2">
    <w:name w:val="TLT Level 2"/>
    <w:basedOn w:val="TLTLevel1"/>
    <w:next w:val="TLTBodyText2"/>
    <w:pPr>
      <w:numPr>
        <w:ilvl w:val="1"/>
      </w:numPr>
    </w:pPr>
  </w:style>
  <w:style w:type="paragraph" w:customStyle="1" w:styleId="TLTLevel3">
    <w:name w:val="TLT Level 3"/>
    <w:basedOn w:val="TLTLevel2"/>
    <w:next w:val="TLTBodyText3"/>
    <w:pPr>
      <w:numPr>
        <w:ilvl w:val="2"/>
      </w:numPr>
      <w:tabs>
        <w:tab w:val="left" w:pos="1803"/>
      </w:tabs>
    </w:pPr>
  </w:style>
  <w:style w:type="paragraph" w:customStyle="1" w:styleId="TLTLevel4">
    <w:name w:val="TLT Level 4"/>
    <w:basedOn w:val="TLTLevel3"/>
    <w:next w:val="TLTBodyText4"/>
    <w:pPr>
      <w:numPr>
        <w:ilvl w:val="3"/>
      </w:numPr>
    </w:pPr>
  </w:style>
  <w:style w:type="paragraph" w:customStyle="1" w:styleId="TLTLevel5">
    <w:name w:val="TLT Level 5"/>
    <w:basedOn w:val="TLTLevel4"/>
    <w:next w:val="TLTBodyText5"/>
    <w:pPr>
      <w:numPr>
        <w:ilvl w:val="4"/>
      </w:numPr>
      <w:tabs>
        <w:tab w:val="left" w:pos="2523"/>
      </w:tabs>
    </w:pPr>
  </w:style>
  <w:style w:type="paragraph" w:customStyle="1" w:styleId="TLTLitigant">
    <w:name w:val="TLT Litigant"/>
    <w:basedOn w:val="Normal"/>
    <w:next w:val="TLTCentre"/>
    <w:pPr>
      <w:spacing w:before="100" w:after="200"/>
      <w:jc w:val="right"/>
    </w:pPr>
    <w:rPr>
      <w:rFonts w:eastAsia="Times New Roman" w:cs="Times New Roman"/>
      <w:szCs w:val="24"/>
      <w:lang w:eastAsia="en-GB"/>
    </w:rPr>
  </w:style>
  <w:style w:type="paragraph" w:customStyle="1" w:styleId="TLTLLP">
    <w:name w:val="TLT LLP"/>
    <w:basedOn w:val="Normal"/>
    <w:next w:val="TLTEnc"/>
    <w:pPr>
      <w:spacing w:after="200"/>
    </w:pPr>
    <w:rPr>
      <w:rFonts w:eastAsia="Times New Roman" w:cs="Times New Roman"/>
      <w:szCs w:val="24"/>
      <w:lang w:eastAsia="en-GB"/>
    </w:rPr>
  </w:style>
  <w:style w:type="paragraph" w:customStyle="1" w:styleId="TLTLPC">
    <w:name w:val="TLT LPC"/>
    <w:basedOn w:val="Normal"/>
    <w:next w:val="TLTBodyText"/>
    <w:pPr>
      <w:spacing w:before="100" w:after="200"/>
    </w:pPr>
    <w:rPr>
      <w:rFonts w:eastAsia="Times New Roman" w:cs="Times New Roman"/>
      <w:sz w:val="24"/>
      <w:szCs w:val="24"/>
      <w:lang w:eastAsia="en-GB"/>
    </w:rPr>
  </w:style>
  <w:style w:type="paragraph" w:customStyle="1" w:styleId="TLTPartHeading">
    <w:name w:val="TLT Part Heading"/>
    <w:basedOn w:val="Normal"/>
    <w:next w:val="TLTBodyText"/>
    <w:pPr>
      <w:spacing w:after="200"/>
    </w:pPr>
    <w:rPr>
      <w:rFonts w:eastAsia="Times New Roman" w:cs="Times New Roman"/>
      <w:b/>
      <w:szCs w:val="24"/>
      <w:lang w:eastAsia="en-GB"/>
    </w:rPr>
  </w:style>
  <w:style w:type="paragraph" w:customStyle="1" w:styleId="TLTPartiesBodyText">
    <w:name w:val="TLT Parties Body Text"/>
    <w:basedOn w:val="Normal"/>
    <w:pPr>
      <w:numPr>
        <w:numId w:val="14"/>
      </w:numPr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TLTPartiesFrontSheet">
    <w:name w:val="TLT Parties Front Sheet"/>
    <w:basedOn w:val="Normal"/>
    <w:pPr>
      <w:numPr>
        <w:numId w:val="15"/>
      </w:numPr>
    </w:pPr>
    <w:rPr>
      <w:rFonts w:eastAsia="Times New Roman" w:cs="Times New Roman"/>
      <w:szCs w:val="24"/>
      <w:lang w:eastAsia="en-GB"/>
    </w:rPr>
  </w:style>
  <w:style w:type="paragraph" w:customStyle="1" w:styleId="TLTRecitals">
    <w:name w:val="TLT Recitals"/>
    <w:basedOn w:val="Normal"/>
    <w:pPr>
      <w:numPr>
        <w:numId w:val="16"/>
      </w:numPr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TLTReference">
    <w:name w:val="TLT Reference"/>
    <w:basedOn w:val="Normal"/>
    <w:pPr>
      <w:tabs>
        <w:tab w:val="left" w:pos="1077"/>
      </w:tabs>
    </w:pPr>
    <w:rPr>
      <w:rFonts w:eastAsia="Times New Roman" w:cs="Times New Roman"/>
      <w:sz w:val="16"/>
      <w:szCs w:val="24"/>
      <w:lang w:eastAsia="en-GB"/>
    </w:rPr>
  </w:style>
  <w:style w:type="paragraph" w:customStyle="1" w:styleId="TLTScheduleHeading">
    <w:name w:val="TLT Schedule Heading"/>
    <w:basedOn w:val="Normal"/>
    <w:next w:val="TLTScheduleSubHeading"/>
    <w:pPr>
      <w:numPr>
        <w:numId w:val="30"/>
      </w:numPr>
      <w:spacing w:before="100" w:after="3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TLTScheduleSubHeading">
    <w:name w:val="TLT Schedule Sub Heading"/>
    <w:basedOn w:val="Normal"/>
    <w:next w:val="TLTPartHeading"/>
    <w:pPr>
      <w:spacing w:before="100" w:after="3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TLTScheduleText1">
    <w:name w:val="TLT Schedule Text 1"/>
    <w:basedOn w:val="Normal"/>
    <w:next w:val="TLTBodyText1"/>
    <w:pPr>
      <w:numPr>
        <w:numId w:val="50"/>
      </w:numPr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TLTScheduleText2">
    <w:name w:val="TLT Schedule Text 2"/>
    <w:basedOn w:val="TLTScheduleText1"/>
    <w:next w:val="TLTBodyText2"/>
    <w:pPr>
      <w:numPr>
        <w:ilvl w:val="1"/>
      </w:numPr>
    </w:pPr>
  </w:style>
  <w:style w:type="paragraph" w:customStyle="1" w:styleId="TLTScheduleText3">
    <w:name w:val="TLT Schedule Text 3"/>
    <w:basedOn w:val="TLTLevel3"/>
    <w:next w:val="TLTBodyText3"/>
    <w:pPr>
      <w:numPr>
        <w:numId w:val="50"/>
      </w:numPr>
    </w:pPr>
  </w:style>
  <w:style w:type="paragraph" w:customStyle="1" w:styleId="TLTScheduleText4">
    <w:name w:val="TLT Schedule Text 4"/>
    <w:basedOn w:val="TLTLevel4"/>
    <w:next w:val="TLTBodyText4"/>
    <w:pPr>
      <w:numPr>
        <w:numId w:val="50"/>
      </w:numPr>
    </w:pPr>
  </w:style>
  <w:style w:type="paragraph" w:customStyle="1" w:styleId="TLTScheduleText5">
    <w:name w:val="TLT Schedule Text 5"/>
    <w:basedOn w:val="TLTLevel5"/>
    <w:next w:val="TLTBodyText5"/>
    <w:pPr>
      <w:numPr>
        <w:numId w:val="50"/>
      </w:numPr>
    </w:pPr>
  </w:style>
  <w:style w:type="paragraph" w:customStyle="1" w:styleId="TLTSetInformation">
    <w:name w:val="TLT Set Information"/>
    <w:basedOn w:val="Normal"/>
    <w:pPr>
      <w:spacing w:line="300" w:lineRule="exact"/>
    </w:pPr>
    <w:rPr>
      <w:rFonts w:eastAsia="Times New Roman" w:cs="Times New Roman"/>
      <w:sz w:val="16"/>
      <w:szCs w:val="24"/>
      <w:lang w:eastAsia="en-GB"/>
    </w:rPr>
  </w:style>
  <w:style w:type="paragraph" w:customStyle="1" w:styleId="TLTSignature">
    <w:name w:val="TLT Signature"/>
    <w:basedOn w:val="Normal"/>
    <w:rPr>
      <w:rFonts w:eastAsia="Times New Roman" w:cs="Times New Roman"/>
      <w:b/>
      <w:szCs w:val="24"/>
      <w:lang w:eastAsia="en-GB"/>
    </w:rPr>
  </w:style>
  <w:style w:type="paragraph" w:customStyle="1" w:styleId="TLTStatus">
    <w:name w:val="TLT Status"/>
    <w:basedOn w:val="Normal"/>
    <w:next w:val="TLTBodyText"/>
    <w:pPr>
      <w:spacing w:before="200" w:after="400"/>
    </w:pPr>
    <w:rPr>
      <w:rFonts w:eastAsia="Times New Roman" w:cs="Times New Roman"/>
      <w:b/>
      <w:szCs w:val="24"/>
      <w:lang w:eastAsia="en-GB"/>
    </w:rPr>
  </w:style>
  <w:style w:type="paragraph" w:customStyle="1" w:styleId="TLTSubTitle">
    <w:name w:val="TLT Sub Title"/>
    <w:basedOn w:val="Normal"/>
    <w:pPr>
      <w:spacing w:before="100" w:after="200"/>
    </w:pPr>
    <w:rPr>
      <w:rFonts w:eastAsia="Times New Roman" w:cs="Times New Roman"/>
      <w:sz w:val="28"/>
      <w:szCs w:val="24"/>
      <w:lang w:eastAsia="en-GB"/>
    </w:rPr>
  </w:style>
  <w:style w:type="paragraph" w:customStyle="1" w:styleId="TLTSubject">
    <w:name w:val="TLT Subject"/>
    <w:basedOn w:val="Normal"/>
    <w:pPr>
      <w:spacing w:before="400" w:after="300"/>
    </w:pPr>
    <w:rPr>
      <w:rFonts w:eastAsia="Times New Roman" w:cs="Times New Roman"/>
      <w:b/>
      <w:szCs w:val="24"/>
      <w:lang w:eastAsia="en-GB"/>
    </w:rPr>
  </w:style>
  <w:style w:type="paragraph" w:customStyle="1" w:styleId="TLTTemplate">
    <w:name w:val="TLT Template"/>
    <w:basedOn w:val="Normal"/>
    <w:pPr>
      <w:spacing w:before="500" w:after="400"/>
    </w:pPr>
    <w:rPr>
      <w:rFonts w:eastAsia="Times New Roman" w:cs="Times New Roman"/>
      <w:b/>
      <w:sz w:val="36"/>
      <w:szCs w:val="24"/>
      <w:lang w:eastAsia="en-GB"/>
    </w:rPr>
  </w:style>
  <w:style w:type="paragraph" w:customStyle="1" w:styleId="TLTTitle">
    <w:name w:val="TLT Title"/>
    <w:basedOn w:val="Normal"/>
    <w:pPr>
      <w:spacing w:before="100" w:after="200"/>
    </w:pPr>
    <w:rPr>
      <w:rFonts w:eastAsia="Times New Roman" w:cs="Times New Roman"/>
      <w:b/>
      <w:sz w:val="36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dot" w:pos="8448"/>
      </w:tabs>
    </w:pPr>
    <w:rPr>
      <w:rFonts w:eastAsia="Times New Roman" w:cs="Times New Roman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pPr>
      <w:numPr>
        <w:numId w:val="22"/>
      </w:numPr>
      <w:tabs>
        <w:tab w:val="right" w:leader="dot" w:pos="8448"/>
      </w:tabs>
    </w:pPr>
    <w:rPr>
      <w:rFonts w:eastAsia="Times New Roman" w:cs="Times New Roman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pPr>
      <w:numPr>
        <w:numId w:val="23"/>
      </w:numPr>
      <w:tabs>
        <w:tab w:val="right" w:leader="dot" w:pos="8448"/>
      </w:tabs>
    </w:pPr>
    <w:rPr>
      <w:rFonts w:eastAsia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97233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6415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111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1A2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1A2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1A2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1A2E" w:themeFill="accent1" w:themeFillShade="BF"/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97233F" w:themeColor="accent1"/>
        <w:left w:val="single" w:sz="8" w:space="0" w:color="97233F" w:themeColor="accent1"/>
        <w:bottom w:val="single" w:sz="8" w:space="0" w:color="97233F" w:themeColor="accent1"/>
        <w:right w:val="single" w:sz="8" w:space="0" w:color="97233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23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233F" w:themeColor="accent1"/>
          <w:left w:val="single" w:sz="8" w:space="0" w:color="97233F" w:themeColor="accent1"/>
          <w:bottom w:val="single" w:sz="8" w:space="0" w:color="97233F" w:themeColor="accent1"/>
          <w:right w:val="single" w:sz="8" w:space="0" w:color="9723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233F" w:themeColor="accent1"/>
          <w:left w:val="single" w:sz="8" w:space="0" w:color="97233F" w:themeColor="accent1"/>
          <w:bottom w:val="single" w:sz="8" w:space="0" w:color="97233F" w:themeColor="accent1"/>
          <w:right w:val="single" w:sz="8" w:space="0" w:color="97233F" w:themeColor="accent1"/>
        </w:tcBorders>
      </w:tcPr>
    </w:tblStylePr>
    <w:tblStylePr w:type="band1Horz">
      <w:tblPr/>
      <w:tcPr>
        <w:tcBorders>
          <w:top w:val="single" w:sz="8" w:space="0" w:color="97233F" w:themeColor="accent1"/>
          <w:left w:val="single" w:sz="8" w:space="0" w:color="97233F" w:themeColor="accent1"/>
          <w:bottom w:val="single" w:sz="8" w:space="0" w:color="97233F" w:themeColor="accent1"/>
          <w:right w:val="single" w:sz="8" w:space="0" w:color="97233F" w:themeColor="accent1"/>
        </w:tcBorders>
      </w:tcPr>
    </w:tblStylePr>
  </w:style>
  <w:style w:type="table" w:styleId="ColorfulShading">
    <w:name w:val="Colorful Shading"/>
    <w:basedOn w:val="TableNormal"/>
    <w:uiPriority w:val="71"/>
    <w:rPr>
      <w:color w:val="264152" w:themeColor="text1"/>
    </w:rPr>
    <w:tblPr>
      <w:tblStyleRowBandSize w:val="1"/>
      <w:tblStyleColBandSize w:val="1"/>
      <w:tblBorders>
        <w:top w:val="single" w:sz="24" w:space="0" w:color="FD6631" w:themeColor="accent2"/>
        <w:left w:val="single" w:sz="4" w:space="0" w:color="264152" w:themeColor="text1"/>
        <w:bottom w:val="single" w:sz="4" w:space="0" w:color="264152" w:themeColor="text1"/>
        <w:right w:val="single" w:sz="4" w:space="0" w:color="26415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F3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66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2631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2631" w:themeColor="text1" w:themeShade="99"/>
          <w:insideV w:val="nil"/>
        </w:tcBorders>
        <w:shd w:val="clear" w:color="auto" w:fill="162631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303D" w:themeFill="text1" w:themeFillShade="BF"/>
      </w:tcPr>
    </w:tblStylePr>
    <w:tblStylePr w:type="band1Vert">
      <w:tblPr/>
      <w:tcPr>
        <w:shd w:val="clear" w:color="auto" w:fill="94B7CD" w:themeFill="text1" w:themeFillTint="66"/>
      </w:tcPr>
    </w:tblStylePr>
    <w:tblStylePr w:type="band1Horz">
      <w:tblPr/>
      <w:tcPr>
        <w:shd w:val="clear" w:color="auto" w:fill="7AA5C1" w:themeFill="text1" w:themeFillTint="7F"/>
      </w:tcPr>
    </w:tblStylePr>
    <w:tblStylePr w:type="neCell">
      <w:rPr>
        <w:color w:val="264152" w:themeColor="text1"/>
      </w:rPr>
    </w:tblStylePr>
    <w:tblStylePr w:type="nwCell">
      <w:rPr>
        <w:color w:val="264152" w:themeColor="text1"/>
      </w:r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264152" w:themeColor="text1"/>
    </w:rPr>
    <w:tblPr>
      <w:tblStyleRowBandSize w:val="1"/>
      <w:tblStyleColBandSize w:val="1"/>
      <w:tblBorders>
        <w:top w:val="single" w:sz="8" w:space="0" w:color="5BBBB7" w:themeColor="accent3"/>
        <w:left w:val="single" w:sz="8" w:space="0" w:color="5BBBB7" w:themeColor="accent3"/>
        <w:bottom w:val="single" w:sz="8" w:space="0" w:color="5BBBB7" w:themeColor="accent3"/>
        <w:right w:val="single" w:sz="8" w:space="0" w:color="5BBBB7" w:themeColor="accent3"/>
        <w:insideH w:val="single" w:sz="8" w:space="0" w:color="5BBBB7" w:themeColor="accent3"/>
        <w:insideV w:val="single" w:sz="8" w:space="0" w:color="5BBBB7" w:themeColor="accent3"/>
      </w:tblBorders>
    </w:tblPr>
    <w:tcPr>
      <w:shd w:val="clear" w:color="auto" w:fill="D6EEED" w:themeFill="accent3" w:themeFillTint="3F"/>
    </w:tcPr>
    <w:tblStylePr w:type="firstRow">
      <w:rPr>
        <w:b/>
        <w:bCs/>
        <w:color w:val="264152" w:themeColor="text1"/>
      </w:rPr>
      <w:tblPr/>
      <w:tcPr>
        <w:shd w:val="clear" w:color="auto" w:fill="EEF8F7" w:themeFill="accent3" w:themeFillTint="19"/>
      </w:tcPr>
    </w:tblStylePr>
    <w:tblStylePr w:type="lastRow">
      <w:rPr>
        <w:b/>
        <w:bCs/>
        <w:color w:val="264152" w:themeColor="text1"/>
      </w:rPr>
      <w:tblPr/>
      <w:tcPr>
        <w:tcBorders>
          <w:top w:val="single" w:sz="12" w:space="0" w:color="26415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6415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6415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F0" w:themeFill="accent3" w:themeFillTint="33"/>
      </w:tcPr>
    </w:tblStylePr>
    <w:tblStylePr w:type="band1Vert">
      <w:tblPr/>
      <w:tcPr>
        <w:shd w:val="clear" w:color="auto" w:fill="ADDDDB" w:themeFill="accent3" w:themeFillTint="7F"/>
      </w:tcPr>
    </w:tblStylePr>
    <w:tblStylePr w:type="band1Horz">
      <w:tblPr/>
      <w:tcPr>
        <w:tcBorders>
          <w:insideH w:val="single" w:sz="6" w:space="0" w:color="5BBBB7" w:themeColor="accent3"/>
          <w:insideV w:val="single" w:sz="6" w:space="0" w:color="5BBBB7" w:themeColor="accent3"/>
        </w:tcBorders>
        <w:shd w:val="clear" w:color="auto" w:fill="ADDDD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264152" w:themeColor="text1"/>
    </w:rPr>
    <w:tblPr>
      <w:tblStyleRowBandSize w:val="1"/>
      <w:tblStyleColBandSize w:val="1"/>
      <w:tblBorders>
        <w:top w:val="single" w:sz="8" w:space="0" w:color="452325" w:themeColor="accent6"/>
        <w:left w:val="single" w:sz="8" w:space="0" w:color="452325" w:themeColor="accent6"/>
        <w:bottom w:val="single" w:sz="8" w:space="0" w:color="452325" w:themeColor="accent6"/>
        <w:right w:val="single" w:sz="8" w:space="0" w:color="452325" w:themeColor="accent6"/>
        <w:insideH w:val="single" w:sz="8" w:space="0" w:color="452325" w:themeColor="accent6"/>
        <w:insideV w:val="single" w:sz="8" w:space="0" w:color="452325" w:themeColor="accent6"/>
      </w:tblBorders>
    </w:tblPr>
    <w:tcPr>
      <w:shd w:val="clear" w:color="auto" w:fill="DDBCBE" w:themeFill="accent6" w:themeFillTint="3F"/>
    </w:tcPr>
    <w:tblStylePr w:type="firstRow">
      <w:rPr>
        <w:b/>
        <w:bCs/>
        <w:color w:val="264152" w:themeColor="text1"/>
      </w:rPr>
      <w:tblPr/>
      <w:tcPr>
        <w:shd w:val="clear" w:color="auto" w:fill="F1E4E5" w:themeFill="accent6" w:themeFillTint="19"/>
      </w:tcPr>
    </w:tblStylePr>
    <w:tblStylePr w:type="lastRow">
      <w:rPr>
        <w:b/>
        <w:bCs/>
        <w:color w:val="264152" w:themeColor="text1"/>
      </w:rPr>
      <w:tblPr/>
      <w:tcPr>
        <w:tcBorders>
          <w:top w:val="single" w:sz="12" w:space="0" w:color="26415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6415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6415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9CA" w:themeFill="accent6" w:themeFillTint="33"/>
      </w:tcPr>
    </w:tblStylePr>
    <w:tblStylePr w:type="band1Vert">
      <w:tblPr/>
      <w:tcPr>
        <w:shd w:val="clear" w:color="auto" w:fill="BB787C" w:themeFill="accent6" w:themeFillTint="7F"/>
      </w:tcPr>
    </w:tblStylePr>
    <w:tblStylePr w:type="band1Horz">
      <w:tblPr/>
      <w:tcPr>
        <w:tcBorders>
          <w:insideH w:val="single" w:sz="6" w:space="0" w:color="452325" w:themeColor="accent6"/>
          <w:insideV w:val="single" w:sz="6" w:space="0" w:color="452325" w:themeColor="accent6"/>
        </w:tcBorders>
        <w:shd w:val="clear" w:color="auto" w:fill="BB787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">
    <w:name w:val="Light Shading"/>
    <w:basedOn w:val="TableNormal"/>
    <w:uiPriority w:val="60"/>
    <w:rPr>
      <w:color w:val="1C303D" w:themeColor="text1" w:themeShade="BF"/>
    </w:rPr>
    <w:tblPr>
      <w:tblStyleRowBandSize w:val="1"/>
      <w:tblStyleColBandSize w:val="1"/>
      <w:tblBorders>
        <w:top w:val="single" w:sz="8" w:space="0" w:color="264152" w:themeColor="text1"/>
        <w:bottom w:val="single" w:sz="8" w:space="0" w:color="26415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4152" w:themeColor="text1"/>
          <w:left w:val="nil"/>
          <w:bottom w:val="single" w:sz="8" w:space="0" w:color="26415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4152" w:themeColor="text1"/>
          <w:left w:val="nil"/>
          <w:bottom w:val="single" w:sz="8" w:space="0" w:color="26415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D2E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D2E0" w:themeFill="text1" w:themeFillTint="3F"/>
      </w:tcPr>
    </w:tblStylePr>
  </w:style>
  <w:style w:type="table" w:styleId="ColorfulGrid-Accent6">
    <w:name w:val="Colorful Grid Accent 6"/>
    <w:basedOn w:val="TableNormal"/>
    <w:uiPriority w:val="73"/>
    <w:rPr>
      <w:color w:val="26415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C9CA" w:themeFill="accent6" w:themeFillTint="33"/>
    </w:tcPr>
    <w:tblStylePr w:type="firstRow">
      <w:rPr>
        <w:b/>
        <w:bCs/>
      </w:rPr>
      <w:tblPr/>
      <w:tcPr>
        <w:shd w:val="clear" w:color="auto" w:fill="C89396" w:themeFill="accent6" w:themeFillTint="66"/>
      </w:tcPr>
    </w:tblStylePr>
    <w:tblStylePr w:type="lastRow">
      <w:rPr>
        <w:b/>
        <w:bCs/>
        <w:color w:val="264152" w:themeColor="text1"/>
      </w:rPr>
      <w:tblPr/>
      <w:tcPr>
        <w:shd w:val="clear" w:color="auto" w:fill="C8939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31A1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31A1B" w:themeFill="accent6" w:themeFillShade="BF"/>
      </w:tcPr>
    </w:tblStylePr>
    <w:tblStylePr w:type="band1Vert">
      <w:tblPr/>
      <w:tcPr>
        <w:shd w:val="clear" w:color="auto" w:fill="BB787C" w:themeFill="accent6" w:themeFillTint="7F"/>
      </w:tcPr>
    </w:tblStylePr>
    <w:tblStylePr w:type="band1Horz">
      <w:tblPr/>
      <w:tcPr>
        <w:shd w:val="clear" w:color="auto" w:fill="BB787C" w:themeFill="accent6" w:themeFillTint="7F"/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FD8C64" w:themeColor="accent2" w:themeTint="BF"/>
        <w:left w:val="single" w:sz="8" w:space="0" w:color="FD8C64" w:themeColor="accent2" w:themeTint="BF"/>
        <w:bottom w:val="single" w:sz="8" w:space="0" w:color="FD8C64" w:themeColor="accent2" w:themeTint="BF"/>
        <w:right w:val="single" w:sz="8" w:space="0" w:color="FD8C64" w:themeColor="accent2" w:themeTint="BF"/>
        <w:insideH w:val="single" w:sz="8" w:space="0" w:color="FD8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8C64" w:themeColor="accent2" w:themeTint="BF"/>
          <w:left w:val="single" w:sz="8" w:space="0" w:color="FD8C64" w:themeColor="accent2" w:themeTint="BF"/>
          <w:bottom w:val="single" w:sz="8" w:space="0" w:color="FD8C64" w:themeColor="accent2" w:themeTint="BF"/>
          <w:right w:val="single" w:sz="8" w:space="0" w:color="FD8C64" w:themeColor="accent2" w:themeTint="BF"/>
          <w:insideH w:val="nil"/>
          <w:insideV w:val="nil"/>
        </w:tcBorders>
        <w:shd w:val="clear" w:color="auto" w:fill="FD66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8C64" w:themeColor="accent2" w:themeTint="BF"/>
          <w:left w:val="single" w:sz="8" w:space="0" w:color="FD8C64" w:themeColor="accent2" w:themeTint="BF"/>
          <w:bottom w:val="single" w:sz="8" w:space="0" w:color="FD8C64" w:themeColor="accent2" w:themeTint="BF"/>
          <w:right w:val="single" w:sz="8" w:space="0" w:color="FD8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8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8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232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232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232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452325" w:themeColor="accent6"/>
        <w:left w:val="single" w:sz="8" w:space="0" w:color="452325" w:themeColor="accent6"/>
        <w:bottom w:val="single" w:sz="8" w:space="0" w:color="452325" w:themeColor="accent6"/>
        <w:right w:val="single" w:sz="8" w:space="0" w:color="452325" w:themeColor="accent6"/>
        <w:insideH w:val="single" w:sz="8" w:space="0" w:color="452325" w:themeColor="accent6"/>
        <w:insideV w:val="single" w:sz="8" w:space="0" w:color="45232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2325" w:themeColor="accent6"/>
          <w:left w:val="single" w:sz="8" w:space="0" w:color="452325" w:themeColor="accent6"/>
          <w:bottom w:val="single" w:sz="18" w:space="0" w:color="452325" w:themeColor="accent6"/>
          <w:right w:val="single" w:sz="8" w:space="0" w:color="452325" w:themeColor="accent6"/>
          <w:insideH w:val="nil"/>
          <w:insideV w:val="single" w:sz="8" w:space="0" w:color="45232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2325" w:themeColor="accent6"/>
          <w:left w:val="single" w:sz="8" w:space="0" w:color="452325" w:themeColor="accent6"/>
          <w:bottom w:val="single" w:sz="8" w:space="0" w:color="452325" w:themeColor="accent6"/>
          <w:right w:val="single" w:sz="8" w:space="0" w:color="452325" w:themeColor="accent6"/>
          <w:insideH w:val="nil"/>
          <w:insideV w:val="single" w:sz="8" w:space="0" w:color="45232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2325" w:themeColor="accent6"/>
          <w:left w:val="single" w:sz="8" w:space="0" w:color="452325" w:themeColor="accent6"/>
          <w:bottom w:val="single" w:sz="8" w:space="0" w:color="452325" w:themeColor="accent6"/>
          <w:right w:val="single" w:sz="8" w:space="0" w:color="452325" w:themeColor="accent6"/>
        </w:tcBorders>
      </w:tcPr>
    </w:tblStylePr>
    <w:tblStylePr w:type="band1Vert">
      <w:tblPr/>
      <w:tcPr>
        <w:tcBorders>
          <w:top w:val="single" w:sz="8" w:space="0" w:color="452325" w:themeColor="accent6"/>
          <w:left w:val="single" w:sz="8" w:space="0" w:color="452325" w:themeColor="accent6"/>
          <w:bottom w:val="single" w:sz="8" w:space="0" w:color="452325" w:themeColor="accent6"/>
          <w:right w:val="single" w:sz="8" w:space="0" w:color="452325" w:themeColor="accent6"/>
        </w:tcBorders>
        <w:shd w:val="clear" w:color="auto" w:fill="DDBCBE" w:themeFill="accent6" w:themeFillTint="3F"/>
      </w:tcPr>
    </w:tblStylePr>
    <w:tblStylePr w:type="band1Horz">
      <w:tblPr/>
      <w:tcPr>
        <w:tcBorders>
          <w:top w:val="single" w:sz="8" w:space="0" w:color="452325" w:themeColor="accent6"/>
          <w:left w:val="single" w:sz="8" w:space="0" w:color="452325" w:themeColor="accent6"/>
          <w:bottom w:val="single" w:sz="8" w:space="0" w:color="452325" w:themeColor="accent6"/>
          <w:right w:val="single" w:sz="8" w:space="0" w:color="452325" w:themeColor="accent6"/>
          <w:insideV w:val="single" w:sz="8" w:space="0" w:color="452325" w:themeColor="accent6"/>
        </w:tcBorders>
        <w:shd w:val="clear" w:color="auto" w:fill="DDBCBE" w:themeFill="accent6" w:themeFillTint="3F"/>
      </w:tcPr>
    </w:tblStylePr>
    <w:tblStylePr w:type="band2Horz">
      <w:tblPr/>
      <w:tcPr>
        <w:tcBorders>
          <w:top w:val="single" w:sz="8" w:space="0" w:color="452325" w:themeColor="accent6"/>
          <w:left w:val="single" w:sz="8" w:space="0" w:color="452325" w:themeColor="accent6"/>
          <w:bottom w:val="single" w:sz="8" w:space="0" w:color="452325" w:themeColor="accent6"/>
          <w:right w:val="single" w:sz="8" w:space="0" w:color="452325" w:themeColor="accent6"/>
          <w:insideV w:val="single" w:sz="8" w:space="0" w:color="452325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numbering" w:customStyle="1" w:styleId="Level">
    <w:name w:val="Level"/>
    <w:uiPriority w:val="99"/>
    <w:pPr>
      <w:numPr>
        <w:numId w:val="25"/>
      </w:numPr>
    </w:pPr>
  </w:style>
  <w:style w:type="numbering" w:customStyle="1" w:styleId="Scheduletext">
    <w:name w:val="Schedule text"/>
    <w:uiPriority w:val="99"/>
    <w:pPr>
      <w:numPr>
        <w:numId w:val="26"/>
      </w:numPr>
    </w:pPr>
  </w:style>
  <w:style w:type="numbering" w:customStyle="1" w:styleId="Appendix">
    <w:name w:val="Appendix"/>
    <w:uiPriority w:val="99"/>
    <w:pPr>
      <w:numPr>
        <w:numId w:val="27"/>
      </w:numPr>
    </w:pPr>
  </w:style>
  <w:style w:type="numbering" w:customStyle="1" w:styleId="Appendixheading">
    <w:name w:val="Appendix heading"/>
    <w:uiPriority w:val="99"/>
    <w:pPr>
      <w:numPr>
        <w:numId w:val="29"/>
      </w:numPr>
    </w:pPr>
  </w:style>
  <w:style w:type="numbering" w:customStyle="1" w:styleId="Scheduleheading">
    <w:name w:val="Schedule heading"/>
    <w:uiPriority w:val="99"/>
    <w:pPr>
      <w:numPr>
        <w:numId w:val="30"/>
      </w:numPr>
    </w:pPr>
  </w:style>
  <w:style w:type="numbering" w:customStyle="1" w:styleId="Bullets">
    <w:name w:val="Bullets"/>
    <w:uiPriority w:val="99"/>
    <w:pPr>
      <w:numPr>
        <w:numId w:val="31"/>
      </w:numPr>
    </w:pPr>
  </w:style>
  <w:style w:type="paragraph" w:customStyle="1" w:styleId="TLTDefinitionListLevel1">
    <w:name w:val="TLT Definition List Level 1"/>
    <w:basedOn w:val="TLTDefinitionList"/>
    <w:pPr>
      <w:numPr>
        <w:ilvl w:val="1"/>
      </w:numPr>
    </w:pPr>
  </w:style>
  <w:style w:type="numbering" w:customStyle="1" w:styleId="Definitions">
    <w:name w:val="Definitions"/>
    <w:uiPriority w:val="99"/>
    <w:pPr>
      <w:numPr>
        <w:numId w:val="37"/>
      </w:numPr>
    </w:pPr>
  </w:style>
  <w:style w:type="paragraph" w:styleId="Header">
    <w:name w:val="header"/>
    <w:basedOn w:val="Normal"/>
    <w:link w:val="HeaderChar"/>
    <w:uiPriority w:val="99"/>
    <w:pPr>
      <w:tabs>
        <w:tab w:val="center" w:pos="4150"/>
        <w:tab w:val="right" w:pos="8307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150"/>
        <w:tab w:val="right" w:pos="8307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styleId="Hyperlink">
    <w:name w:val="Hyperlink"/>
    <w:basedOn w:val="DefaultParagraphFont"/>
    <w:uiPriority w:val="99"/>
    <w:unhideWhenUsed/>
    <w:rPr>
      <w:color w:val="FD6631" w:themeColor="hyperlink"/>
      <w:u w:val="single"/>
    </w:rPr>
  </w:style>
  <w:style w:type="character" w:customStyle="1" w:styleId="TLTBodyTextChar">
    <w:name w:val="TLT Body Text Char"/>
    <w:link w:val="TLTBodyText"/>
    <w:locked/>
    <w:rPr>
      <w:rFonts w:eastAsia="Times New Roman" w:cs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GB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1"/>
    <w:lsdException w:name="caption" w:uiPriority="35" w:qFormat="1"/>
    <w:lsdException w:name="footnote reference" w:unhideWhenUsed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LTAction">
    <w:name w:val="TLT Action"/>
    <w:basedOn w:val="Normal"/>
    <w:next w:val="TLTBodyText"/>
    <w:pPr>
      <w:spacing w:before="100"/>
      <w:jc w:val="right"/>
    </w:pPr>
    <w:rPr>
      <w:rFonts w:eastAsia="Times New Roman" w:cs="Times New Roman"/>
      <w:b/>
      <w:szCs w:val="24"/>
      <w:lang w:eastAsia="en-GB"/>
    </w:rPr>
  </w:style>
  <w:style w:type="paragraph" w:customStyle="1" w:styleId="TLTAdditional">
    <w:name w:val="TLT Additional"/>
    <w:basedOn w:val="Normal"/>
    <w:pPr>
      <w:spacing w:before="300" w:after="300"/>
    </w:pPr>
    <w:rPr>
      <w:rFonts w:eastAsia="Times New Roman" w:cs="Times New Roman"/>
      <w:b/>
      <w:szCs w:val="24"/>
      <w:lang w:eastAsia="en-GB"/>
    </w:rPr>
  </w:style>
  <w:style w:type="paragraph" w:customStyle="1" w:styleId="TLTAddress">
    <w:name w:val="TLT Address"/>
    <w:basedOn w:val="Normal"/>
    <w:rPr>
      <w:rFonts w:eastAsia="Times New Roman" w:cs="Times New Roman"/>
      <w:szCs w:val="24"/>
      <w:lang w:eastAsia="en-GB"/>
    </w:rPr>
  </w:style>
  <w:style w:type="paragraph" w:customStyle="1" w:styleId="TLTAppendixHeading">
    <w:name w:val="TLT Appendix Heading"/>
    <w:basedOn w:val="Normal"/>
    <w:next w:val="TLTAppendixSubHeading"/>
    <w:pPr>
      <w:numPr>
        <w:numId w:val="47"/>
      </w:numPr>
      <w:spacing w:before="100" w:after="3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TLTAppendixSubHeading">
    <w:name w:val="TLT Appendix Sub Heading"/>
    <w:basedOn w:val="Normal"/>
    <w:next w:val="TLTBodyText"/>
    <w:pPr>
      <w:spacing w:before="100" w:after="3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TLTAppendixText1">
    <w:name w:val="TLT Appendix Text 1"/>
    <w:basedOn w:val="Normal"/>
    <w:next w:val="TLTBodyText1"/>
    <w:pPr>
      <w:numPr>
        <w:numId w:val="49"/>
      </w:numPr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TLTAppendixText2">
    <w:name w:val="TLT Appendix Text 2"/>
    <w:basedOn w:val="TLTAppendixText1"/>
    <w:next w:val="TLTBodyText2"/>
    <w:pPr>
      <w:numPr>
        <w:ilvl w:val="1"/>
      </w:numPr>
    </w:pPr>
  </w:style>
  <w:style w:type="paragraph" w:customStyle="1" w:styleId="TLTAppendixText3">
    <w:name w:val="TLT Appendix Text 3"/>
    <w:basedOn w:val="TLTLevel3"/>
    <w:next w:val="TLTBodyText3"/>
    <w:pPr>
      <w:numPr>
        <w:numId w:val="49"/>
      </w:numPr>
    </w:pPr>
  </w:style>
  <w:style w:type="paragraph" w:customStyle="1" w:styleId="TLTAppendixText4">
    <w:name w:val="TLT Appendix Text 4"/>
    <w:basedOn w:val="TLTLevel4"/>
    <w:next w:val="TLTBodyText4"/>
    <w:pPr>
      <w:numPr>
        <w:numId w:val="49"/>
      </w:numPr>
    </w:pPr>
  </w:style>
  <w:style w:type="paragraph" w:customStyle="1" w:styleId="TLTAppendixText5">
    <w:name w:val="TLT Appendix Text 5"/>
    <w:basedOn w:val="TLTLevel5"/>
    <w:next w:val="TLTBodyText5"/>
    <w:pPr>
      <w:numPr>
        <w:numId w:val="49"/>
      </w:numPr>
    </w:pPr>
  </w:style>
  <w:style w:type="paragraph" w:customStyle="1" w:styleId="TLTBlankDocumentTitle">
    <w:name w:val="TLT Blank Document Title"/>
    <w:basedOn w:val="Normal"/>
    <w:next w:val="TLTBodyText"/>
    <w:pPr>
      <w:spacing w:after="2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TLTBodyText">
    <w:name w:val="TLT Body Text"/>
    <w:basedOn w:val="Normal"/>
    <w:link w:val="TLTBodyTextChar"/>
    <w:qFormat/>
    <w:pPr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TLTBodyText1">
    <w:name w:val="TLT Body Text 1"/>
    <w:basedOn w:val="TLTBodyText"/>
    <w:pPr>
      <w:ind w:left="720"/>
    </w:pPr>
  </w:style>
  <w:style w:type="paragraph" w:customStyle="1" w:styleId="TLTBodyText2">
    <w:name w:val="TLT Body Text 2"/>
    <w:basedOn w:val="TLTBodyText1"/>
  </w:style>
  <w:style w:type="paragraph" w:customStyle="1" w:styleId="TLTBodyText3">
    <w:name w:val="TLT Body Text 3"/>
    <w:basedOn w:val="TLTBodyText2"/>
    <w:pPr>
      <w:ind w:left="1803"/>
    </w:pPr>
  </w:style>
  <w:style w:type="paragraph" w:customStyle="1" w:styleId="TLTBodyText4">
    <w:name w:val="TLT Body Text 4"/>
    <w:basedOn w:val="TLTBodyText3"/>
  </w:style>
  <w:style w:type="paragraph" w:customStyle="1" w:styleId="TLTBodyText5">
    <w:name w:val="TLT Body Text 5"/>
    <w:basedOn w:val="TLTBodyText4"/>
    <w:pPr>
      <w:ind w:left="2523"/>
    </w:pPr>
  </w:style>
  <w:style w:type="paragraph" w:customStyle="1" w:styleId="TLTBodyTextBold">
    <w:name w:val="TLT Body Text Bold"/>
    <w:basedOn w:val="Normal"/>
    <w:next w:val="TLTBodyText"/>
    <w:link w:val="TLTBodyTextBoldChar"/>
    <w:qFormat/>
    <w:pPr>
      <w:spacing w:before="100" w:after="200"/>
    </w:pPr>
    <w:rPr>
      <w:rFonts w:eastAsia="Times New Roman" w:cs="Times New Roman"/>
      <w:b/>
      <w:szCs w:val="24"/>
      <w:lang w:eastAsia="en-GB"/>
    </w:rPr>
  </w:style>
  <w:style w:type="character" w:customStyle="1" w:styleId="TLTBodyTextBoldChar">
    <w:name w:val="TLT Body Text Bold Char"/>
    <w:basedOn w:val="DefaultParagraphFont"/>
    <w:link w:val="TLTBodyTextBold"/>
    <w:rPr>
      <w:rFonts w:eastAsia="Times New Roman" w:cs="Times New Roman"/>
      <w:b/>
      <w:szCs w:val="24"/>
      <w:lang w:eastAsia="en-GB"/>
    </w:rPr>
  </w:style>
  <w:style w:type="paragraph" w:customStyle="1" w:styleId="TLTBulletsBody">
    <w:name w:val="TLT Bullets Body"/>
    <w:basedOn w:val="TLTBodyText"/>
    <w:pPr>
      <w:numPr>
        <w:numId w:val="48"/>
      </w:numPr>
    </w:pPr>
  </w:style>
  <w:style w:type="paragraph" w:customStyle="1" w:styleId="TLTBulletsLevel1">
    <w:name w:val="TLT Bullets Level 1"/>
    <w:basedOn w:val="TLTBodyText1"/>
    <w:pPr>
      <w:numPr>
        <w:ilvl w:val="1"/>
        <w:numId w:val="48"/>
      </w:numPr>
      <w:tabs>
        <w:tab w:val="left" w:pos="1797"/>
      </w:tabs>
    </w:pPr>
  </w:style>
  <w:style w:type="paragraph" w:customStyle="1" w:styleId="TLTCentered">
    <w:name w:val="TLT Centered"/>
    <w:basedOn w:val="Normal"/>
    <w:next w:val="TLTBodyText"/>
    <w:pPr>
      <w:spacing w:before="100" w:after="200"/>
      <w:jc w:val="center"/>
    </w:pPr>
    <w:rPr>
      <w:rFonts w:eastAsia="Times New Roman" w:cs="Times New Roman"/>
      <w:szCs w:val="24"/>
      <w:lang w:eastAsia="en-GB"/>
    </w:rPr>
  </w:style>
  <w:style w:type="paragraph" w:customStyle="1" w:styleId="TLTCentre">
    <w:name w:val="TLT Centre"/>
    <w:basedOn w:val="Normal"/>
    <w:next w:val="TLTCourtParties"/>
    <w:pPr>
      <w:spacing w:before="100" w:after="600"/>
      <w:jc w:val="center"/>
    </w:pPr>
    <w:rPr>
      <w:rFonts w:eastAsia="Times New Roman" w:cs="Times New Roman"/>
      <w:szCs w:val="24"/>
      <w:lang w:eastAsia="en-GB"/>
    </w:rPr>
  </w:style>
  <w:style w:type="paragraph" w:customStyle="1" w:styleId="TLTCentreBack">
    <w:name w:val="TLT Centre Back"/>
    <w:basedOn w:val="Normal"/>
    <w:next w:val="TLTCourtPartiesBack"/>
    <w:pPr>
      <w:spacing w:before="100" w:after="600"/>
    </w:pPr>
    <w:rPr>
      <w:rFonts w:eastAsia="Times New Roman" w:cs="Times New Roman"/>
      <w:szCs w:val="24"/>
      <w:lang w:eastAsia="en-GB"/>
    </w:rPr>
  </w:style>
  <w:style w:type="paragraph" w:customStyle="1" w:styleId="TLTContentsHeading">
    <w:name w:val="TLT Contents Heading"/>
    <w:basedOn w:val="Normal"/>
    <w:next w:val="TLTContentsSubHeading"/>
    <w:pPr>
      <w:spacing w:before="100" w:after="2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TLTContentsSubHeading">
    <w:name w:val="TLT Contents Sub Heading"/>
    <w:basedOn w:val="Normal"/>
    <w:next w:val="TLTBodyText"/>
    <w:pPr>
      <w:spacing w:before="400" w:after="200"/>
    </w:pPr>
    <w:rPr>
      <w:rFonts w:eastAsia="Times New Roman" w:cs="Times New Roman"/>
      <w:b/>
      <w:szCs w:val="24"/>
      <w:lang w:eastAsia="en-GB"/>
    </w:rPr>
  </w:style>
  <w:style w:type="paragraph" w:customStyle="1" w:styleId="TLTCourtDetails">
    <w:name w:val="TLT Court Details"/>
    <w:basedOn w:val="Normal"/>
    <w:pPr>
      <w:spacing w:before="100" w:after="200"/>
    </w:pPr>
    <w:rPr>
      <w:rFonts w:eastAsia="Times New Roman" w:cs="Times New Roman"/>
      <w:b/>
      <w:caps/>
      <w:szCs w:val="24"/>
      <w:lang w:eastAsia="en-GB"/>
    </w:rPr>
  </w:style>
  <w:style w:type="paragraph" w:customStyle="1" w:styleId="TLTCourtHeading">
    <w:name w:val="TLT Court Heading"/>
    <w:basedOn w:val="Normal"/>
    <w:pPr>
      <w:spacing w:before="100" w:after="200"/>
      <w:jc w:val="center"/>
    </w:pPr>
    <w:rPr>
      <w:rFonts w:eastAsia="Times New Roman" w:cs="Times New Roman"/>
      <w:b/>
      <w:caps/>
      <w:szCs w:val="24"/>
      <w:lang w:eastAsia="en-GB"/>
    </w:rPr>
  </w:style>
  <w:style w:type="paragraph" w:customStyle="1" w:styleId="TLTCourtParties">
    <w:name w:val="TLT Court Parties"/>
    <w:basedOn w:val="Normal"/>
    <w:next w:val="TLTLitigant"/>
    <w:pPr>
      <w:spacing w:before="100" w:after="200"/>
      <w:jc w:val="center"/>
    </w:pPr>
    <w:rPr>
      <w:rFonts w:eastAsia="Times New Roman" w:cs="Times New Roman"/>
      <w:b/>
      <w:caps/>
      <w:szCs w:val="24"/>
      <w:lang w:eastAsia="en-GB"/>
    </w:rPr>
  </w:style>
  <w:style w:type="paragraph" w:customStyle="1" w:styleId="TLTCourtPartiesBack">
    <w:name w:val="TLT Court Parties Back"/>
    <w:basedOn w:val="Normal"/>
    <w:next w:val="TLTLitigant"/>
    <w:pPr>
      <w:spacing w:before="100" w:after="200"/>
    </w:pPr>
    <w:rPr>
      <w:rFonts w:eastAsia="Times New Roman" w:cs="Times New Roman"/>
      <w:b/>
      <w:caps/>
      <w:szCs w:val="24"/>
      <w:lang w:eastAsia="en-GB"/>
    </w:rPr>
  </w:style>
  <w:style w:type="paragraph" w:customStyle="1" w:styleId="TLTCourtReference">
    <w:name w:val="TLT Court Reference"/>
    <w:basedOn w:val="Normal"/>
    <w:next w:val="TLTCourtDetails"/>
    <w:pPr>
      <w:spacing w:before="100" w:after="200"/>
      <w:jc w:val="right"/>
    </w:pPr>
    <w:rPr>
      <w:rFonts w:eastAsia="Times New Roman" w:cs="Times New Roman"/>
      <w:b/>
      <w:caps/>
      <w:szCs w:val="24"/>
      <w:lang w:eastAsia="en-GB"/>
    </w:rPr>
  </w:style>
  <w:style w:type="paragraph" w:customStyle="1" w:styleId="TLTCoverDetails">
    <w:name w:val="TLT Cover Details"/>
    <w:basedOn w:val="Normal"/>
    <w:pPr>
      <w:tabs>
        <w:tab w:val="left" w:pos="3612"/>
      </w:tabs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TLTDefinitionList">
    <w:name w:val="TLT Definition List"/>
    <w:basedOn w:val="Normal"/>
    <w:pPr>
      <w:numPr>
        <w:numId w:val="45"/>
      </w:numPr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TLTDelivery">
    <w:name w:val="TLT Delivery"/>
    <w:basedOn w:val="Normal"/>
    <w:pPr>
      <w:spacing w:before="600" w:after="400"/>
    </w:pPr>
    <w:rPr>
      <w:rFonts w:eastAsia="Times New Roman" w:cs="Times New Roman"/>
      <w:b/>
      <w:szCs w:val="24"/>
      <w:lang w:eastAsia="en-GB"/>
    </w:rPr>
  </w:style>
  <w:style w:type="paragraph" w:customStyle="1" w:styleId="TLTDetails">
    <w:name w:val="TLT Details"/>
    <w:basedOn w:val="Normal"/>
    <w:pPr>
      <w:spacing w:line="300" w:lineRule="exact"/>
    </w:pPr>
    <w:rPr>
      <w:rFonts w:eastAsia="Times New Roman" w:cs="Times New Roman"/>
      <w:szCs w:val="24"/>
      <w:lang w:eastAsia="en-GB"/>
    </w:rPr>
  </w:style>
  <w:style w:type="paragraph" w:customStyle="1" w:styleId="TLTDocRef">
    <w:name w:val="TLT Doc Ref"/>
    <w:basedOn w:val="Normal"/>
    <w:rPr>
      <w:rFonts w:eastAsia="Times New Roman" w:cs="Times New Roman"/>
      <w:sz w:val="12"/>
      <w:szCs w:val="24"/>
      <w:lang w:eastAsia="en-GB"/>
    </w:rPr>
  </w:style>
  <w:style w:type="paragraph" w:customStyle="1" w:styleId="TLTEnc">
    <w:name w:val="TLT Enc"/>
    <w:basedOn w:val="Normal"/>
    <w:pPr>
      <w:tabs>
        <w:tab w:val="left" w:pos="720"/>
      </w:tabs>
    </w:pPr>
    <w:rPr>
      <w:rFonts w:eastAsia="Times New Roman" w:cs="Times New Roman"/>
      <w:szCs w:val="24"/>
      <w:lang w:eastAsia="en-GB"/>
    </w:rPr>
  </w:style>
  <w:style w:type="paragraph" w:customStyle="1" w:styleId="TLTExecution">
    <w:name w:val="TLT Execution"/>
    <w:basedOn w:val="Normal"/>
    <w:pPr>
      <w:spacing w:before="100" w:after="200"/>
    </w:pPr>
    <w:rPr>
      <w:rFonts w:eastAsia="Times New Roman" w:cs="Times New Roman"/>
      <w:sz w:val="16"/>
      <w:szCs w:val="24"/>
      <w:lang w:eastAsia="en-GB"/>
    </w:rPr>
  </w:style>
  <w:style w:type="paragraph" w:customStyle="1" w:styleId="TLTFAO">
    <w:name w:val="TLT FAO"/>
    <w:basedOn w:val="TLTAddress"/>
    <w:rPr>
      <w:b/>
    </w:rPr>
  </w:style>
  <w:style w:type="paragraph" w:customStyle="1" w:styleId="TLTFaxStatus">
    <w:name w:val="TLT Fax Status"/>
    <w:basedOn w:val="Normal"/>
    <w:pPr>
      <w:spacing w:before="200"/>
    </w:pPr>
    <w:rPr>
      <w:rFonts w:eastAsia="Times New Roman" w:cs="Times New Roman"/>
      <w:b/>
      <w:szCs w:val="24"/>
      <w:lang w:eastAsia="en-GB"/>
    </w:rPr>
  </w:style>
  <w:style w:type="paragraph" w:customStyle="1" w:styleId="TLTFaxSubject">
    <w:name w:val="TLT Fax Subject"/>
    <w:basedOn w:val="Normal"/>
    <w:pPr>
      <w:spacing w:before="200"/>
    </w:pPr>
    <w:rPr>
      <w:rFonts w:eastAsia="Times New Roman" w:cs="Times New Roman"/>
      <w:b/>
      <w:szCs w:val="24"/>
      <w:lang w:eastAsia="en-GB"/>
    </w:rPr>
  </w:style>
  <w:style w:type="paragraph" w:customStyle="1" w:styleId="TLTHeading1">
    <w:name w:val="TLT Heading 1"/>
    <w:basedOn w:val="Normal"/>
    <w:next w:val="TLTBodyText"/>
    <w:pPr>
      <w:keepNext/>
      <w:spacing w:before="300" w:after="100"/>
    </w:pPr>
    <w:rPr>
      <w:rFonts w:eastAsia="Times New Roman" w:cs="Times New Roman"/>
      <w:b/>
      <w:szCs w:val="24"/>
      <w:lang w:eastAsia="en-GB"/>
    </w:rPr>
  </w:style>
  <w:style w:type="paragraph" w:customStyle="1" w:styleId="TLTHeading2">
    <w:name w:val="TLT Heading 2"/>
    <w:basedOn w:val="Normal"/>
    <w:next w:val="TLTBodyText"/>
    <w:pPr>
      <w:keepNext/>
      <w:spacing w:before="100" w:after="200"/>
    </w:pPr>
    <w:rPr>
      <w:rFonts w:eastAsia="Times New Roman" w:cs="Times New Roman"/>
      <w:i/>
      <w:szCs w:val="24"/>
      <w:lang w:eastAsia="en-GB"/>
    </w:rPr>
  </w:style>
  <w:style w:type="paragraph" w:customStyle="1" w:styleId="TLTLegalReportHeading">
    <w:name w:val="TLT Legal Report Heading"/>
    <w:basedOn w:val="Normal"/>
    <w:next w:val="TLTBodyText"/>
    <w:pPr>
      <w:spacing w:before="100" w:after="2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TLTLetterTitle">
    <w:name w:val="TLT Letter Title"/>
    <w:basedOn w:val="Normal"/>
    <w:next w:val="TLTBodyText"/>
    <w:pPr>
      <w:spacing w:before="100" w:after="200"/>
    </w:pPr>
    <w:rPr>
      <w:rFonts w:eastAsia="Times New Roman" w:cs="Times New Roman"/>
      <w:b/>
      <w:szCs w:val="24"/>
      <w:lang w:eastAsia="en-GB"/>
    </w:rPr>
  </w:style>
  <w:style w:type="paragraph" w:customStyle="1" w:styleId="TLTLevel1">
    <w:name w:val="TLT Level 1"/>
    <w:basedOn w:val="TLTBodyText"/>
    <w:next w:val="TLTBodyText1"/>
    <w:qFormat/>
    <w:pPr>
      <w:numPr>
        <w:numId w:val="41"/>
      </w:numPr>
      <w:tabs>
        <w:tab w:val="left" w:pos="720"/>
      </w:tabs>
    </w:pPr>
  </w:style>
  <w:style w:type="paragraph" w:customStyle="1" w:styleId="TLTLevel2">
    <w:name w:val="TLT Level 2"/>
    <w:basedOn w:val="TLTLevel1"/>
    <w:next w:val="TLTBodyText2"/>
    <w:pPr>
      <w:numPr>
        <w:ilvl w:val="1"/>
      </w:numPr>
    </w:pPr>
  </w:style>
  <w:style w:type="paragraph" w:customStyle="1" w:styleId="TLTLevel3">
    <w:name w:val="TLT Level 3"/>
    <w:basedOn w:val="TLTLevel2"/>
    <w:next w:val="TLTBodyText3"/>
    <w:pPr>
      <w:numPr>
        <w:ilvl w:val="2"/>
      </w:numPr>
      <w:tabs>
        <w:tab w:val="left" w:pos="1803"/>
      </w:tabs>
    </w:pPr>
  </w:style>
  <w:style w:type="paragraph" w:customStyle="1" w:styleId="TLTLevel4">
    <w:name w:val="TLT Level 4"/>
    <w:basedOn w:val="TLTLevel3"/>
    <w:next w:val="TLTBodyText4"/>
    <w:pPr>
      <w:numPr>
        <w:ilvl w:val="3"/>
      </w:numPr>
    </w:pPr>
  </w:style>
  <w:style w:type="paragraph" w:customStyle="1" w:styleId="TLTLevel5">
    <w:name w:val="TLT Level 5"/>
    <w:basedOn w:val="TLTLevel4"/>
    <w:next w:val="TLTBodyText5"/>
    <w:pPr>
      <w:numPr>
        <w:ilvl w:val="4"/>
      </w:numPr>
      <w:tabs>
        <w:tab w:val="left" w:pos="2523"/>
      </w:tabs>
    </w:pPr>
  </w:style>
  <w:style w:type="paragraph" w:customStyle="1" w:styleId="TLTLitigant">
    <w:name w:val="TLT Litigant"/>
    <w:basedOn w:val="Normal"/>
    <w:next w:val="TLTCentre"/>
    <w:pPr>
      <w:spacing w:before="100" w:after="200"/>
      <w:jc w:val="right"/>
    </w:pPr>
    <w:rPr>
      <w:rFonts w:eastAsia="Times New Roman" w:cs="Times New Roman"/>
      <w:szCs w:val="24"/>
      <w:lang w:eastAsia="en-GB"/>
    </w:rPr>
  </w:style>
  <w:style w:type="paragraph" w:customStyle="1" w:styleId="TLTLLP">
    <w:name w:val="TLT LLP"/>
    <w:basedOn w:val="Normal"/>
    <w:next w:val="TLTEnc"/>
    <w:pPr>
      <w:spacing w:after="200"/>
    </w:pPr>
    <w:rPr>
      <w:rFonts w:eastAsia="Times New Roman" w:cs="Times New Roman"/>
      <w:szCs w:val="24"/>
      <w:lang w:eastAsia="en-GB"/>
    </w:rPr>
  </w:style>
  <w:style w:type="paragraph" w:customStyle="1" w:styleId="TLTLPC">
    <w:name w:val="TLT LPC"/>
    <w:basedOn w:val="Normal"/>
    <w:next w:val="TLTBodyText"/>
    <w:pPr>
      <w:spacing w:before="100" w:after="200"/>
    </w:pPr>
    <w:rPr>
      <w:rFonts w:eastAsia="Times New Roman" w:cs="Times New Roman"/>
      <w:sz w:val="24"/>
      <w:szCs w:val="24"/>
      <w:lang w:eastAsia="en-GB"/>
    </w:rPr>
  </w:style>
  <w:style w:type="paragraph" w:customStyle="1" w:styleId="TLTPartHeading">
    <w:name w:val="TLT Part Heading"/>
    <w:basedOn w:val="Normal"/>
    <w:next w:val="TLTBodyText"/>
    <w:pPr>
      <w:spacing w:after="200"/>
    </w:pPr>
    <w:rPr>
      <w:rFonts w:eastAsia="Times New Roman" w:cs="Times New Roman"/>
      <w:b/>
      <w:szCs w:val="24"/>
      <w:lang w:eastAsia="en-GB"/>
    </w:rPr>
  </w:style>
  <w:style w:type="paragraph" w:customStyle="1" w:styleId="TLTPartiesBodyText">
    <w:name w:val="TLT Parties Body Text"/>
    <w:basedOn w:val="Normal"/>
    <w:pPr>
      <w:numPr>
        <w:numId w:val="14"/>
      </w:numPr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TLTPartiesFrontSheet">
    <w:name w:val="TLT Parties Front Sheet"/>
    <w:basedOn w:val="Normal"/>
    <w:pPr>
      <w:numPr>
        <w:numId w:val="15"/>
      </w:numPr>
    </w:pPr>
    <w:rPr>
      <w:rFonts w:eastAsia="Times New Roman" w:cs="Times New Roman"/>
      <w:szCs w:val="24"/>
      <w:lang w:eastAsia="en-GB"/>
    </w:rPr>
  </w:style>
  <w:style w:type="paragraph" w:customStyle="1" w:styleId="TLTRecitals">
    <w:name w:val="TLT Recitals"/>
    <w:basedOn w:val="Normal"/>
    <w:pPr>
      <w:numPr>
        <w:numId w:val="16"/>
      </w:numPr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TLTReference">
    <w:name w:val="TLT Reference"/>
    <w:basedOn w:val="Normal"/>
    <w:pPr>
      <w:tabs>
        <w:tab w:val="left" w:pos="1077"/>
      </w:tabs>
    </w:pPr>
    <w:rPr>
      <w:rFonts w:eastAsia="Times New Roman" w:cs="Times New Roman"/>
      <w:sz w:val="16"/>
      <w:szCs w:val="24"/>
      <w:lang w:eastAsia="en-GB"/>
    </w:rPr>
  </w:style>
  <w:style w:type="paragraph" w:customStyle="1" w:styleId="TLTScheduleHeading">
    <w:name w:val="TLT Schedule Heading"/>
    <w:basedOn w:val="Normal"/>
    <w:next w:val="TLTScheduleSubHeading"/>
    <w:pPr>
      <w:numPr>
        <w:numId w:val="30"/>
      </w:numPr>
      <w:spacing w:before="100" w:after="3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TLTScheduleSubHeading">
    <w:name w:val="TLT Schedule Sub Heading"/>
    <w:basedOn w:val="Normal"/>
    <w:next w:val="TLTPartHeading"/>
    <w:pPr>
      <w:spacing w:before="100" w:after="3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TLTScheduleText1">
    <w:name w:val="TLT Schedule Text 1"/>
    <w:basedOn w:val="Normal"/>
    <w:next w:val="TLTBodyText1"/>
    <w:pPr>
      <w:numPr>
        <w:numId w:val="50"/>
      </w:numPr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TLTScheduleText2">
    <w:name w:val="TLT Schedule Text 2"/>
    <w:basedOn w:val="TLTScheduleText1"/>
    <w:next w:val="TLTBodyText2"/>
    <w:pPr>
      <w:numPr>
        <w:ilvl w:val="1"/>
      </w:numPr>
    </w:pPr>
  </w:style>
  <w:style w:type="paragraph" w:customStyle="1" w:styleId="TLTScheduleText3">
    <w:name w:val="TLT Schedule Text 3"/>
    <w:basedOn w:val="TLTLevel3"/>
    <w:next w:val="TLTBodyText3"/>
    <w:pPr>
      <w:numPr>
        <w:numId w:val="50"/>
      </w:numPr>
    </w:pPr>
  </w:style>
  <w:style w:type="paragraph" w:customStyle="1" w:styleId="TLTScheduleText4">
    <w:name w:val="TLT Schedule Text 4"/>
    <w:basedOn w:val="TLTLevel4"/>
    <w:next w:val="TLTBodyText4"/>
    <w:pPr>
      <w:numPr>
        <w:numId w:val="50"/>
      </w:numPr>
    </w:pPr>
  </w:style>
  <w:style w:type="paragraph" w:customStyle="1" w:styleId="TLTScheduleText5">
    <w:name w:val="TLT Schedule Text 5"/>
    <w:basedOn w:val="TLTLevel5"/>
    <w:next w:val="TLTBodyText5"/>
    <w:pPr>
      <w:numPr>
        <w:numId w:val="50"/>
      </w:numPr>
    </w:pPr>
  </w:style>
  <w:style w:type="paragraph" w:customStyle="1" w:styleId="TLTSetInformation">
    <w:name w:val="TLT Set Information"/>
    <w:basedOn w:val="Normal"/>
    <w:pPr>
      <w:spacing w:line="300" w:lineRule="exact"/>
    </w:pPr>
    <w:rPr>
      <w:rFonts w:eastAsia="Times New Roman" w:cs="Times New Roman"/>
      <w:sz w:val="16"/>
      <w:szCs w:val="24"/>
      <w:lang w:eastAsia="en-GB"/>
    </w:rPr>
  </w:style>
  <w:style w:type="paragraph" w:customStyle="1" w:styleId="TLTSignature">
    <w:name w:val="TLT Signature"/>
    <w:basedOn w:val="Normal"/>
    <w:rPr>
      <w:rFonts w:eastAsia="Times New Roman" w:cs="Times New Roman"/>
      <w:b/>
      <w:szCs w:val="24"/>
      <w:lang w:eastAsia="en-GB"/>
    </w:rPr>
  </w:style>
  <w:style w:type="paragraph" w:customStyle="1" w:styleId="TLTStatus">
    <w:name w:val="TLT Status"/>
    <w:basedOn w:val="Normal"/>
    <w:next w:val="TLTBodyText"/>
    <w:pPr>
      <w:spacing w:before="200" w:after="400"/>
    </w:pPr>
    <w:rPr>
      <w:rFonts w:eastAsia="Times New Roman" w:cs="Times New Roman"/>
      <w:b/>
      <w:szCs w:val="24"/>
      <w:lang w:eastAsia="en-GB"/>
    </w:rPr>
  </w:style>
  <w:style w:type="paragraph" w:customStyle="1" w:styleId="TLTSubTitle">
    <w:name w:val="TLT Sub Title"/>
    <w:basedOn w:val="Normal"/>
    <w:pPr>
      <w:spacing w:before="100" w:after="200"/>
    </w:pPr>
    <w:rPr>
      <w:rFonts w:eastAsia="Times New Roman" w:cs="Times New Roman"/>
      <w:sz w:val="28"/>
      <w:szCs w:val="24"/>
      <w:lang w:eastAsia="en-GB"/>
    </w:rPr>
  </w:style>
  <w:style w:type="paragraph" w:customStyle="1" w:styleId="TLTSubject">
    <w:name w:val="TLT Subject"/>
    <w:basedOn w:val="Normal"/>
    <w:pPr>
      <w:spacing w:before="400" w:after="300"/>
    </w:pPr>
    <w:rPr>
      <w:rFonts w:eastAsia="Times New Roman" w:cs="Times New Roman"/>
      <w:b/>
      <w:szCs w:val="24"/>
      <w:lang w:eastAsia="en-GB"/>
    </w:rPr>
  </w:style>
  <w:style w:type="paragraph" w:customStyle="1" w:styleId="TLTTemplate">
    <w:name w:val="TLT Template"/>
    <w:basedOn w:val="Normal"/>
    <w:pPr>
      <w:spacing w:before="500" w:after="400"/>
    </w:pPr>
    <w:rPr>
      <w:rFonts w:eastAsia="Times New Roman" w:cs="Times New Roman"/>
      <w:b/>
      <w:sz w:val="36"/>
      <w:szCs w:val="24"/>
      <w:lang w:eastAsia="en-GB"/>
    </w:rPr>
  </w:style>
  <w:style w:type="paragraph" w:customStyle="1" w:styleId="TLTTitle">
    <w:name w:val="TLT Title"/>
    <w:basedOn w:val="Normal"/>
    <w:pPr>
      <w:spacing w:before="100" w:after="200"/>
    </w:pPr>
    <w:rPr>
      <w:rFonts w:eastAsia="Times New Roman" w:cs="Times New Roman"/>
      <w:b/>
      <w:sz w:val="36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dot" w:pos="8448"/>
      </w:tabs>
    </w:pPr>
    <w:rPr>
      <w:rFonts w:eastAsia="Times New Roman" w:cs="Times New Roman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pPr>
      <w:numPr>
        <w:numId w:val="22"/>
      </w:numPr>
      <w:tabs>
        <w:tab w:val="right" w:leader="dot" w:pos="8448"/>
      </w:tabs>
    </w:pPr>
    <w:rPr>
      <w:rFonts w:eastAsia="Times New Roman" w:cs="Times New Roman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pPr>
      <w:numPr>
        <w:numId w:val="23"/>
      </w:numPr>
      <w:tabs>
        <w:tab w:val="right" w:leader="dot" w:pos="8448"/>
      </w:tabs>
    </w:pPr>
    <w:rPr>
      <w:rFonts w:eastAsia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97233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6415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111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1A2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1A2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1A2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1A2E" w:themeFill="accent1" w:themeFillShade="BF"/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97233F" w:themeColor="accent1"/>
        <w:left w:val="single" w:sz="8" w:space="0" w:color="97233F" w:themeColor="accent1"/>
        <w:bottom w:val="single" w:sz="8" w:space="0" w:color="97233F" w:themeColor="accent1"/>
        <w:right w:val="single" w:sz="8" w:space="0" w:color="97233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23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233F" w:themeColor="accent1"/>
          <w:left w:val="single" w:sz="8" w:space="0" w:color="97233F" w:themeColor="accent1"/>
          <w:bottom w:val="single" w:sz="8" w:space="0" w:color="97233F" w:themeColor="accent1"/>
          <w:right w:val="single" w:sz="8" w:space="0" w:color="9723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233F" w:themeColor="accent1"/>
          <w:left w:val="single" w:sz="8" w:space="0" w:color="97233F" w:themeColor="accent1"/>
          <w:bottom w:val="single" w:sz="8" w:space="0" w:color="97233F" w:themeColor="accent1"/>
          <w:right w:val="single" w:sz="8" w:space="0" w:color="97233F" w:themeColor="accent1"/>
        </w:tcBorders>
      </w:tcPr>
    </w:tblStylePr>
    <w:tblStylePr w:type="band1Horz">
      <w:tblPr/>
      <w:tcPr>
        <w:tcBorders>
          <w:top w:val="single" w:sz="8" w:space="0" w:color="97233F" w:themeColor="accent1"/>
          <w:left w:val="single" w:sz="8" w:space="0" w:color="97233F" w:themeColor="accent1"/>
          <w:bottom w:val="single" w:sz="8" w:space="0" w:color="97233F" w:themeColor="accent1"/>
          <w:right w:val="single" w:sz="8" w:space="0" w:color="97233F" w:themeColor="accent1"/>
        </w:tcBorders>
      </w:tcPr>
    </w:tblStylePr>
  </w:style>
  <w:style w:type="table" w:styleId="ColorfulShading">
    <w:name w:val="Colorful Shading"/>
    <w:basedOn w:val="TableNormal"/>
    <w:uiPriority w:val="71"/>
    <w:rPr>
      <w:color w:val="264152" w:themeColor="text1"/>
    </w:rPr>
    <w:tblPr>
      <w:tblStyleRowBandSize w:val="1"/>
      <w:tblStyleColBandSize w:val="1"/>
      <w:tblBorders>
        <w:top w:val="single" w:sz="24" w:space="0" w:color="FD6631" w:themeColor="accent2"/>
        <w:left w:val="single" w:sz="4" w:space="0" w:color="264152" w:themeColor="text1"/>
        <w:bottom w:val="single" w:sz="4" w:space="0" w:color="264152" w:themeColor="text1"/>
        <w:right w:val="single" w:sz="4" w:space="0" w:color="26415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F3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66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2631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2631" w:themeColor="text1" w:themeShade="99"/>
          <w:insideV w:val="nil"/>
        </w:tcBorders>
        <w:shd w:val="clear" w:color="auto" w:fill="162631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303D" w:themeFill="text1" w:themeFillShade="BF"/>
      </w:tcPr>
    </w:tblStylePr>
    <w:tblStylePr w:type="band1Vert">
      <w:tblPr/>
      <w:tcPr>
        <w:shd w:val="clear" w:color="auto" w:fill="94B7CD" w:themeFill="text1" w:themeFillTint="66"/>
      </w:tcPr>
    </w:tblStylePr>
    <w:tblStylePr w:type="band1Horz">
      <w:tblPr/>
      <w:tcPr>
        <w:shd w:val="clear" w:color="auto" w:fill="7AA5C1" w:themeFill="text1" w:themeFillTint="7F"/>
      </w:tcPr>
    </w:tblStylePr>
    <w:tblStylePr w:type="neCell">
      <w:rPr>
        <w:color w:val="264152" w:themeColor="text1"/>
      </w:rPr>
    </w:tblStylePr>
    <w:tblStylePr w:type="nwCell">
      <w:rPr>
        <w:color w:val="264152" w:themeColor="text1"/>
      </w:r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264152" w:themeColor="text1"/>
    </w:rPr>
    <w:tblPr>
      <w:tblStyleRowBandSize w:val="1"/>
      <w:tblStyleColBandSize w:val="1"/>
      <w:tblBorders>
        <w:top w:val="single" w:sz="8" w:space="0" w:color="5BBBB7" w:themeColor="accent3"/>
        <w:left w:val="single" w:sz="8" w:space="0" w:color="5BBBB7" w:themeColor="accent3"/>
        <w:bottom w:val="single" w:sz="8" w:space="0" w:color="5BBBB7" w:themeColor="accent3"/>
        <w:right w:val="single" w:sz="8" w:space="0" w:color="5BBBB7" w:themeColor="accent3"/>
        <w:insideH w:val="single" w:sz="8" w:space="0" w:color="5BBBB7" w:themeColor="accent3"/>
        <w:insideV w:val="single" w:sz="8" w:space="0" w:color="5BBBB7" w:themeColor="accent3"/>
      </w:tblBorders>
    </w:tblPr>
    <w:tcPr>
      <w:shd w:val="clear" w:color="auto" w:fill="D6EEED" w:themeFill="accent3" w:themeFillTint="3F"/>
    </w:tcPr>
    <w:tblStylePr w:type="firstRow">
      <w:rPr>
        <w:b/>
        <w:bCs/>
        <w:color w:val="264152" w:themeColor="text1"/>
      </w:rPr>
      <w:tblPr/>
      <w:tcPr>
        <w:shd w:val="clear" w:color="auto" w:fill="EEF8F7" w:themeFill="accent3" w:themeFillTint="19"/>
      </w:tcPr>
    </w:tblStylePr>
    <w:tblStylePr w:type="lastRow">
      <w:rPr>
        <w:b/>
        <w:bCs/>
        <w:color w:val="264152" w:themeColor="text1"/>
      </w:rPr>
      <w:tblPr/>
      <w:tcPr>
        <w:tcBorders>
          <w:top w:val="single" w:sz="12" w:space="0" w:color="26415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6415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6415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F0" w:themeFill="accent3" w:themeFillTint="33"/>
      </w:tcPr>
    </w:tblStylePr>
    <w:tblStylePr w:type="band1Vert">
      <w:tblPr/>
      <w:tcPr>
        <w:shd w:val="clear" w:color="auto" w:fill="ADDDDB" w:themeFill="accent3" w:themeFillTint="7F"/>
      </w:tcPr>
    </w:tblStylePr>
    <w:tblStylePr w:type="band1Horz">
      <w:tblPr/>
      <w:tcPr>
        <w:tcBorders>
          <w:insideH w:val="single" w:sz="6" w:space="0" w:color="5BBBB7" w:themeColor="accent3"/>
          <w:insideV w:val="single" w:sz="6" w:space="0" w:color="5BBBB7" w:themeColor="accent3"/>
        </w:tcBorders>
        <w:shd w:val="clear" w:color="auto" w:fill="ADDDD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264152" w:themeColor="text1"/>
    </w:rPr>
    <w:tblPr>
      <w:tblStyleRowBandSize w:val="1"/>
      <w:tblStyleColBandSize w:val="1"/>
      <w:tblBorders>
        <w:top w:val="single" w:sz="8" w:space="0" w:color="452325" w:themeColor="accent6"/>
        <w:left w:val="single" w:sz="8" w:space="0" w:color="452325" w:themeColor="accent6"/>
        <w:bottom w:val="single" w:sz="8" w:space="0" w:color="452325" w:themeColor="accent6"/>
        <w:right w:val="single" w:sz="8" w:space="0" w:color="452325" w:themeColor="accent6"/>
        <w:insideH w:val="single" w:sz="8" w:space="0" w:color="452325" w:themeColor="accent6"/>
        <w:insideV w:val="single" w:sz="8" w:space="0" w:color="452325" w:themeColor="accent6"/>
      </w:tblBorders>
    </w:tblPr>
    <w:tcPr>
      <w:shd w:val="clear" w:color="auto" w:fill="DDBCBE" w:themeFill="accent6" w:themeFillTint="3F"/>
    </w:tcPr>
    <w:tblStylePr w:type="firstRow">
      <w:rPr>
        <w:b/>
        <w:bCs/>
        <w:color w:val="264152" w:themeColor="text1"/>
      </w:rPr>
      <w:tblPr/>
      <w:tcPr>
        <w:shd w:val="clear" w:color="auto" w:fill="F1E4E5" w:themeFill="accent6" w:themeFillTint="19"/>
      </w:tcPr>
    </w:tblStylePr>
    <w:tblStylePr w:type="lastRow">
      <w:rPr>
        <w:b/>
        <w:bCs/>
        <w:color w:val="264152" w:themeColor="text1"/>
      </w:rPr>
      <w:tblPr/>
      <w:tcPr>
        <w:tcBorders>
          <w:top w:val="single" w:sz="12" w:space="0" w:color="26415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6415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6415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9CA" w:themeFill="accent6" w:themeFillTint="33"/>
      </w:tcPr>
    </w:tblStylePr>
    <w:tblStylePr w:type="band1Vert">
      <w:tblPr/>
      <w:tcPr>
        <w:shd w:val="clear" w:color="auto" w:fill="BB787C" w:themeFill="accent6" w:themeFillTint="7F"/>
      </w:tcPr>
    </w:tblStylePr>
    <w:tblStylePr w:type="band1Horz">
      <w:tblPr/>
      <w:tcPr>
        <w:tcBorders>
          <w:insideH w:val="single" w:sz="6" w:space="0" w:color="452325" w:themeColor="accent6"/>
          <w:insideV w:val="single" w:sz="6" w:space="0" w:color="452325" w:themeColor="accent6"/>
        </w:tcBorders>
        <w:shd w:val="clear" w:color="auto" w:fill="BB787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">
    <w:name w:val="Light Shading"/>
    <w:basedOn w:val="TableNormal"/>
    <w:uiPriority w:val="60"/>
    <w:rPr>
      <w:color w:val="1C303D" w:themeColor="text1" w:themeShade="BF"/>
    </w:rPr>
    <w:tblPr>
      <w:tblStyleRowBandSize w:val="1"/>
      <w:tblStyleColBandSize w:val="1"/>
      <w:tblBorders>
        <w:top w:val="single" w:sz="8" w:space="0" w:color="264152" w:themeColor="text1"/>
        <w:bottom w:val="single" w:sz="8" w:space="0" w:color="26415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4152" w:themeColor="text1"/>
          <w:left w:val="nil"/>
          <w:bottom w:val="single" w:sz="8" w:space="0" w:color="26415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4152" w:themeColor="text1"/>
          <w:left w:val="nil"/>
          <w:bottom w:val="single" w:sz="8" w:space="0" w:color="26415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D2E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D2E0" w:themeFill="text1" w:themeFillTint="3F"/>
      </w:tcPr>
    </w:tblStylePr>
  </w:style>
  <w:style w:type="table" w:styleId="ColorfulGrid-Accent6">
    <w:name w:val="Colorful Grid Accent 6"/>
    <w:basedOn w:val="TableNormal"/>
    <w:uiPriority w:val="73"/>
    <w:rPr>
      <w:color w:val="26415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C9CA" w:themeFill="accent6" w:themeFillTint="33"/>
    </w:tcPr>
    <w:tblStylePr w:type="firstRow">
      <w:rPr>
        <w:b/>
        <w:bCs/>
      </w:rPr>
      <w:tblPr/>
      <w:tcPr>
        <w:shd w:val="clear" w:color="auto" w:fill="C89396" w:themeFill="accent6" w:themeFillTint="66"/>
      </w:tcPr>
    </w:tblStylePr>
    <w:tblStylePr w:type="lastRow">
      <w:rPr>
        <w:b/>
        <w:bCs/>
        <w:color w:val="264152" w:themeColor="text1"/>
      </w:rPr>
      <w:tblPr/>
      <w:tcPr>
        <w:shd w:val="clear" w:color="auto" w:fill="C8939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31A1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31A1B" w:themeFill="accent6" w:themeFillShade="BF"/>
      </w:tcPr>
    </w:tblStylePr>
    <w:tblStylePr w:type="band1Vert">
      <w:tblPr/>
      <w:tcPr>
        <w:shd w:val="clear" w:color="auto" w:fill="BB787C" w:themeFill="accent6" w:themeFillTint="7F"/>
      </w:tcPr>
    </w:tblStylePr>
    <w:tblStylePr w:type="band1Horz">
      <w:tblPr/>
      <w:tcPr>
        <w:shd w:val="clear" w:color="auto" w:fill="BB787C" w:themeFill="accent6" w:themeFillTint="7F"/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FD8C64" w:themeColor="accent2" w:themeTint="BF"/>
        <w:left w:val="single" w:sz="8" w:space="0" w:color="FD8C64" w:themeColor="accent2" w:themeTint="BF"/>
        <w:bottom w:val="single" w:sz="8" w:space="0" w:color="FD8C64" w:themeColor="accent2" w:themeTint="BF"/>
        <w:right w:val="single" w:sz="8" w:space="0" w:color="FD8C64" w:themeColor="accent2" w:themeTint="BF"/>
        <w:insideH w:val="single" w:sz="8" w:space="0" w:color="FD8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8C64" w:themeColor="accent2" w:themeTint="BF"/>
          <w:left w:val="single" w:sz="8" w:space="0" w:color="FD8C64" w:themeColor="accent2" w:themeTint="BF"/>
          <w:bottom w:val="single" w:sz="8" w:space="0" w:color="FD8C64" w:themeColor="accent2" w:themeTint="BF"/>
          <w:right w:val="single" w:sz="8" w:space="0" w:color="FD8C64" w:themeColor="accent2" w:themeTint="BF"/>
          <w:insideH w:val="nil"/>
          <w:insideV w:val="nil"/>
        </w:tcBorders>
        <w:shd w:val="clear" w:color="auto" w:fill="FD66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8C64" w:themeColor="accent2" w:themeTint="BF"/>
          <w:left w:val="single" w:sz="8" w:space="0" w:color="FD8C64" w:themeColor="accent2" w:themeTint="BF"/>
          <w:bottom w:val="single" w:sz="8" w:space="0" w:color="FD8C64" w:themeColor="accent2" w:themeTint="BF"/>
          <w:right w:val="single" w:sz="8" w:space="0" w:color="FD8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8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8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232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232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232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452325" w:themeColor="accent6"/>
        <w:left w:val="single" w:sz="8" w:space="0" w:color="452325" w:themeColor="accent6"/>
        <w:bottom w:val="single" w:sz="8" w:space="0" w:color="452325" w:themeColor="accent6"/>
        <w:right w:val="single" w:sz="8" w:space="0" w:color="452325" w:themeColor="accent6"/>
        <w:insideH w:val="single" w:sz="8" w:space="0" w:color="452325" w:themeColor="accent6"/>
        <w:insideV w:val="single" w:sz="8" w:space="0" w:color="45232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2325" w:themeColor="accent6"/>
          <w:left w:val="single" w:sz="8" w:space="0" w:color="452325" w:themeColor="accent6"/>
          <w:bottom w:val="single" w:sz="18" w:space="0" w:color="452325" w:themeColor="accent6"/>
          <w:right w:val="single" w:sz="8" w:space="0" w:color="452325" w:themeColor="accent6"/>
          <w:insideH w:val="nil"/>
          <w:insideV w:val="single" w:sz="8" w:space="0" w:color="45232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2325" w:themeColor="accent6"/>
          <w:left w:val="single" w:sz="8" w:space="0" w:color="452325" w:themeColor="accent6"/>
          <w:bottom w:val="single" w:sz="8" w:space="0" w:color="452325" w:themeColor="accent6"/>
          <w:right w:val="single" w:sz="8" w:space="0" w:color="452325" w:themeColor="accent6"/>
          <w:insideH w:val="nil"/>
          <w:insideV w:val="single" w:sz="8" w:space="0" w:color="45232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2325" w:themeColor="accent6"/>
          <w:left w:val="single" w:sz="8" w:space="0" w:color="452325" w:themeColor="accent6"/>
          <w:bottom w:val="single" w:sz="8" w:space="0" w:color="452325" w:themeColor="accent6"/>
          <w:right w:val="single" w:sz="8" w:space="0" w:color="452325" w:themeColor="accent6"/>
        </w:tcBorders>
      </w:tcPr>
    </w:tblStylePr>
    <w:tblStylePr w:type="band1Vert">
      <w:tblPr/>
      <w:tcPr>
        <w:tcBorders>
          <w:top w:val="single" w:sz="8" w:space="0" w:color="452325" w:themeColor="accent6"/>
          <w:left w:val="single" w:sz="8" w:space="0" w:color="452325" w:themeColor="accent6"/>
          <w:bottom w:val="single" w:sz="8" w:space="0" w:color="452325" w:themeColor="accent6"/>
          <w:right w:val="single" w:sz="8" w:space="0" w:color="452325" w:themeColor="accent6"/>
        </w:tcBorders>
        <w:shd w:val="clear" w:color="auto" w:fill="DDBCBE" w:themeFill="accent6" w:themeFillTint="3F"/>
      </w:tcPr>
    </w:tblStylePr>
    <w:tblStylePr w:type="band1Horz">
      <w:tblPr/>
      <w:tcPr>
        <w:tcBorders>
          <w:top w:val="single" w:sz="8" w:space="0" w:color="452325" w:themeColor="accent6"/>
          <w:left w:val="single" w:sz="8" w:space="0" w:color="452325" w:themeColor="accent6"/>
          <w:bottom w:val="single" w:sz="8" w:space="0" w:color="452325" w:themeColor="accent6"/>
          <w:right w:val="single" w:sz="8" w:space="0" w:color="452325" w:themeColor="accent6"/>
          <w:insideV w:val="single" w:sz="8" w:space="0" w:color="452325" w:themeColor="accent6"/>
        </w:tcBorders>
        <w:shd w:val="clear" w:color="auto" w:fill="DDBCBE" w:themeFill="accent6" w:themeFillTint="3F"/>
      </w:tcPr>
    </w:tblStylePr>
    <w:tblStylePr w:type="band2Horz">
      <w:tblPr/>
      <w:tcPr>
        <w:tcBorders>
          <w:top w:val="single" w:sz="8" w:space="0" w:color="452325" w:themeColor="accent6"/>
          <w:left w:val="single" w:sz="8" w:space="0" w:color="452325" w:themeColor="accent6"/>
          <w:bottom w:val="single" w:sz="8" w:space="0" w:color="452325" w:themeColor="accent6"/>
          <w:right w:val="single" w:sz="8" w:space="0" w:color="452325" w:themeColor="accent6"/>
          <w:insideV w:val="single" w:sz="8" w:space="0" w:color="452325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numbering" w:customStyle="1" w:styleId="Level">
    <w:name w:val="Level"/>
    <w:uiPriority w:val="99"/>
    <w:pPr>
      <w:numPr>
        <w:numId w:val="25"/>
      </w:numPr>
    </w:pPr>
  </w:style>
  <w:style w:type="numbering" w:customStyle="1" w:styleId="Scheduletext">
    <w:name w:val="Schedule text"/>
    <w:uiPriority w:val="99"/>
    <w:pPr>
      <w:numPr>
        <w:numId w:val="26"/>
      </w:numPr>
    </w:pPr>
  </w:style>
  <w:style w:type="numbering" w:customStyle="1" w:styleId="Appendix">
    <w:name w:val="Appendix"/>
    <w:uiPriority w:val="99"/>
    <w:pPr>
      <w:numPr>
        <w:numId w:val="27"/>
      </w:numPr>
    </w:pPr>
  </w:style>
  <w:style w:type="numbering" w:customStyle="1" w:styleId="Appendixheading">
    <w:name w:val="Appendix heading"/>
    <w:uiPriority w:val="99"/>
    <w:pPr>
      <w:numPr>
        <w:numId w:val="29"/>
      </w:numPr>
    </w:pPr>
  </w:style>
  <w:style w:type="numbering" w:customStyle="1" w:styleId="Scheduleheading">
    <w:name w:val="Schedule heading"/>
    <w:uiPriority w:val="99"/>
    <w:pPr>
      <w:numPr>
        <w:numId w:val="30"/>
      </w:numPr>
    </w:pPr>
  </w:style>
  <w:style w:type="numbering" w:customStyle="1" w:styleId="Bullets">
    <w:name w:val="Bullets"/>
    <w:uiPriority w:val="99"/>
    <w:pPr>
      <w:numPr>
        <w:numId w:val="31"/>
      </w:numPr>
    </w:pPr>
  </w:style>
  <w:style w:type="paragraph" w:customStyle="1" w:styleId="TLTDefinitionListLevel1">
    <w:name w:val="TLT Definition List Level 1"/>
    <w:basedOn w:val="TLTDefinitionList"/>
    <w:pPr>
      <w:numPr>
        <w:ilvl w:val="1"/>
      </w:numPr>
    </w:pPr>
  </w:style>
  <w:style w:type="numbering" w:customStyle="1" w:styleId="Definitions">
    <w:name w:val="Definitions"/>
    <w:uiPriority w:val="99"/>
    <w:pPr>
      <w:numPr>
        <w:numId w:val="37"/>
      </w:numPr>
    </w:pPr>
  </w:style>
  <w:style w:type="paragraph" w:styleId="Header">
    <w:name w:val="header"/>
    <w:basedOn w:val="Normal"/>
    <w:link w:val="HeaderChar"/>
    <w:uiPriority w:val="99"/>
    <w:pPr>
      <w:tabs>
        <w:tab w:val="center" w:pos="4150"/>
        <w:tab w:val="right" w:pos="8307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150"/>
        <w:tab w:val="right" w:pos="8307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styleId="Hyperlink">
    <w:name w:val="Hyperlink"/>
    <w:basedOn w:val="DefaultParagraphFont"/>
    <w:uiPriority w:val="99"/>
    <w:unhideWhenUsed/>
    <w:rPr>
      <w:color w:val="FD6631" w:themeColor="hyperlink"/>
      <w:u w:val="single"/>
    </w:rPr>
  </w:style>
  <w:style w:type="character" w:customStyle="1" w:styleId="TLTBodyTextChar">
    <w:name w:val="TLT Body Text Char"/>
    <w:link w:val="TLTBodyText"/>
    <w:locked/>
    <w:rPr>
      <w:rFonts w:eastAsia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lt.dotx" TargetMode="External"/></Relationships>
</file>

<file path=word/theme/theme1.xml><?xml version="1.0" encoding="utf-8"?>
<a:theme xmlns:a="http://schemas.openxmlformats.org/drawingml/2006/main" name="TLT">
  <a:themeElements>
    <a:clrScheme name="TLT">
      <a:dk1>
        <a:srgbClr val="264152"/>
      </a:dk1>
      <a:lt1>
        <a:sysClr val="window" lastClr="FFFFFF"/>
      </a:lt1>
      <a:dk2>
        <a:srgbClr val="452325"/>
      </a:dk2>
      <a:lt2>
        <a:srgbClr val="EEECE1"/>
      </a:lt2>
      <a:accent1>
        <a:srgbClr val="97233F"/>
      </a:accent1>
      <a:accent2>
        <a:srgbClr val="FD6631"/>
      </a:accent2>
      <a:accent3>
        <a:srgbClr val="5BBBB7"/>
      </a:accent3>
      <a:accent4>
        <a:srgbClr val="007470"/>
      </a:accent4>
      <a:accent5>
        <a:srgbClr val="639ABD"/>
      </a:accent5>
      <a:accent6>
        <a:srgbClr val="452325"/>
      </a:accent6>
      <a:hlink>
        <a:srgbClr val="FD6631"/>
      </a:hlink>
      <a:folHlink>
        <a:srgbClr val="FD663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EEC79-2FA4-4F9C-BA68-B5BB9B85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tlt</Template>
  <TotalTime>14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 </vt:lpstr>
    </vt:vector>
  </TitlesOfParts>
  <Company>
  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 </dc:title>
  <dc:creator>Fergus Charlton</dc:creator>
  <dc:description>
  </dc:description>
  <cp:lastModifiedBy>Fergus Charlton</cp:lastModifiedBy>
  <cp:revision>5</cp:revision>
  <cp:lastPrinted>2018-06-26T11:08:00Z</cp:lastPrinted>
  <dcterms:created xsi:type="dcterms:W3CDTF">2018-06-11T07:20:00Z</dcterms:created>
  <dcterms:modified xsi:type="dcterms:W3CDTF">2018-06-26T11:08:00Z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46698924.2</vt:lpwstr>
  </property>
  <property fmtid="{D5CDD505-2E9C-101B-9397-08002B2CF9AE}" pid="3" name="HotDocsTemplate">
    <vt:bool>true</vt:bool>
  </property>
</Properties>
</file>